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F766E"/>
          <w:sz w:val="48"/>
        </w:rPr>
        <w:t>ASSESSMENT PLAN</w:t>
      </w:r>
    </w:p>
    <w:p>
      <w:pPr>
        <w:jc w:val="center"/>
      </w:pPr>
      <w:r>
        <w:rPr>
          <w:b/>
        </w:rPr>
        <w:t>FOR</w:t>
      </w:r>
    </w:p>
    <w:p>
      <w:pPr>
        <w:jc w:val="center"/>
      </w:pPr>
      <w:r>
        <w:rPr>
          <w:b/>
          <w:color w:val="0B253A"/>
          <w:sz w:val="50"/>
        </w:rPr>
        <w:t>Data Mining and Machine Learning Fundamentals for Beginners</w:t>
      </w:r>
    </w:p>
    <w:p>
      <w:pPr>
        <w:jc w:val="center"/>
      </w:pPr>
      <w:r>
        <w:t>Course Code: TGS-2020503264</w:t>
      </w:r>
    </w:p>
    <w:p>
      <w:pPr>
        <w:jc w:val="center"/>
      </w:pPr>
      <w:r>
        <w:t>Conducted by 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t>Version 17.0 · 10 September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766E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0F766E"/>
          </w:tcPr>
          <w:p>
            <w:r>
              <w:t>Effective date</w:t>
            </w:r>
          </w:p>
        </w:tc>
        <w:tc>
          <w:tcPr>
            <w:tcW w:type="dxa" w:w="2520"/>
            <w:shd w:fill="0F766E"/>
          </w:tcPr>
          <w:p>
            <w:r>
              <w:t>Summary of changes</w:t>
            </w:r>
          </w:p>
        </w:tc>
        <w:tc>
          <w:tcPr>
            <w:tcW w:type="dxa" w:w="2520"/>
            <w:shd w:fill="0F766E"/>
          </w:tcPr>
          <w:p>
            <w:r>
              <w:t>Author</w:t>
            </w:r>
          </w:p>
        </w:tc>
      </w:tr>
      <w:tr>
        <w:tc>
          <w:tcPr>
            <w:tcW w:type="dxa" w:w="2520"/>
          </w:tcPr>
          <w:p>
            <w:r>
              <w:t>17.0</w:t>
            </w:r>
          </w:p>
        </w:tc>
        <w:tc>
          <w:tcPr>
            <w:tcW w:type="dxa" w:w="2520"/>
          </w:tcPr>
          <w:p>
            <w:r>
              <w:t>10 September 2026</w:t>
            </w:r>
          </w:p>
        </w:tc>
        <w:tc>
          <w:tcPr>
            <w:tcW w:type="dxa" w:w="2520"/>
          </w:tcPr>
          <w:p>
            <w:r>
              <w:t>Assessment plan aligned to a 10-question WA (K1–K10) and seven-task Python/Streamlit PP (A1–A9), replacing legacy tool workflows.</w:t>
            </w:r>
          </w:p>
        </w:tc>
        <w:tc>
          <w:tcPr>
            <w:tcW w:type="dxa" w:w="2520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Assessment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1FAE5"/>
          </w:tcPr>
          <w:p>
            <w:r>
              <w:rPr>
                <w:b/>
              </w:rPr>
              <w:t>Written Assessment</w:t>
            </w:r>
          </w:p>
        </w:tc>
        <w:tc>
          <w:tcPr>
            <w:tcW w:type="dxa" w:w="5040"/>
          </w:tcPr>
          <w:p>
            <w:r>
              <w:t>10 open-ended short-answer questions · K1–K10 · 60 minutes · open book</w:t>
            </w:r>
          </w:p>
        </w:tc>
      </w:tr>
      <w:tr>
        <w:tc>
          <w:tcPr>
            <w:tcW w:type="dxa" w:w="5040"/>
            <w:shd w:fill="D1FAE5"/>
          </w:tcPr>
          <w:p>
            <w:r>
              <w:rPr>
                <w:b/>
              </w:rPr>
              <w:t>Practical Performance</w:t>
            </w:r>
          </w:p>
        </w:tc>
        <w:tc>
          <w:tcPr>
            <w:tcW w:type="dxa" w:w="5040"/>
          </w:tcPr>
          <w:p>
            <w:r>
              <w:t>7 connected tasks · A1–A9 · 60 minutes · open book</w:t>
            </w:r>
          </w:p>
        </w:tc>
      </w:tr>
      <w:tr>
        <w:tc>
          <w:tcPr>
            <w:tcW w:type="dxa" w:w="5040"/>
            <w:shd w:fill="D1FAE5"/>
          </w:tcPr>
          <w:p>
            <w:r>
              <w:rPr>
                <w:b/>
              </w:rPr>
              <w:t>Allowed references</w:t>
            </w:r>
          </w:p>
        </w:tc>
        <w:tc>
          <w:tcPr>
            <w:tcW w:type="dxa" w:w="5040"/>
          </w:tcPr>
          <w:p>
            <w:r>
              <w:t>Course slides, Learner Guide, lab guides, and supplied mock data</w:t>
            </w:r>
          </w:p>
        </w:tc>
      </w:tr>
      <w:tr>
        <w:tc>
          <w:tcPr>
            <w:tcW w:type="dxa" w:w="5040"/>
            <w:shd w:fill="D1FAE5"/>
          </w:tcPr>
          <w:p>
            <w:r>
              <w:rPr>
                <w:b/>
              </w:rPr>
              <w:t>Submission</w:t>
            </w:r>
          </w:p>
        </w:tc>
        <w:tc>
          <w:tcPr>
            <w:tcW w:type="dxa" w:w="5040"/>
          </w:tcPr>
          <w:p>
            <w:r>
              <w:t>Upload completed evidence to https://lms-tms.tertiaryinfotech.com/</w:t>
            </w:r>
          </w:p>
        </w:tc>
      </w:tr>
      <w:tr>
        <w:tc>
          <w:tcPr>
            <w:tcW w:type="dxa" w:w="5040"/>
            <w:shd w:fill="D1FAE5"/>
          </w:tcPr>
          <w:p>
            <w:r>
              <w:rPr>
                <w:b/>
              </w:rPr>
              <w:t>Competency decision</w:t>
            </w:r>
          </w:p>
        </w:tc>
        <w:tc>
          <w:tcPr>
            <w:tcW w:type="dxa" w:w="5040"/>
          </w:tcPr>
          <w:p>
            <w:r>
              <w:t>All prescribed assessment requirements must be met; assessor records C or NYC</w:t>
            </w:r>
          </w:p>
        </w:tc>
      </w:tr>
    </w:tbl>
    <w:p>
      <w:pPr>
        <w:pStyle w:val="Heading1"/>
      </w:pPr>
      <w:r>
        <w:t>Written Assessment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766E"/>
          </w:tcPr>
          <w:p>
            <w:r>
              <w:t>Question</w:t>
            </w:r>
          </w:p>
        </w:tc>
        <w:tc>
          <w:tcPr>
            <w:tcW w:type="dxa" w:w="2520"/>
            <w:shd w:fill="0F766E"/>
          </w:tcPr>
          <w:p>
            <w:r>
              <w:t>Knowledge</w:t>
            </w:r>
          </w:p>
        </w:tc>
        <w:tc>
          <w:tcPr>
            <w:tcW w:type="dxa" w:w="2520"/>
            <w:shd w:fill="0F766E"/>
          </w:tcPr>
          <w:p>
            <w:r>
              <w:t>Course evidence</w:t>
            </w:r>
          </w:p>
        </w:tc>
        <w:tc>
          <w:tcPr>
            <w:tcW w:type="dxa" w:w="2520"/>
            <w:shd w:fill="0F766E"/>
          </w:tcPr>
          <w:p>
            <w:r>
              <w:t>Expected response evidence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K1</w:t>
            </w:r>
          </w:p>
        </w:tc>
        <w:tc>
          <w:tcPr>
            <w:tcW w:type="dxa" w:w="2520"/>
          </w:tcPr>
          <w:p>
            <w:r>
              <w:t>Topic 2</w:t>
            </w:r>
          </w:p>
        </w:tc>
        <w:tc>
          <w:tcPr>
            <w:tcW w:type="dxa" w:w="2520"/>
          </w:tcPr>
          <w:p>
            <w:r>
              <w:t>Missingness treatment and validation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K2</w:t>
            </w:r>
          </w:p>
        </w:tc>
        <w:tc>
          <w:tcPr>
            <w:tcW w:type="dxa" w:w="2520"/>
          </w:tcPr>
          <w:p>
            <w:r>
              <w:t>Topic 3</w:t>
            </w:r>
          </w:p>
        </w:tc>
        <w:tc>
          <w:tcPr>
            <w:tcW w:type="dxa" w:w="2520"/>
          </w:tcPr>
          <w:p>
            <w:r>
              <w:t>Ridge/Lasso and overfitting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K3</w:t>
            </w:r>
          </w:p>
        </w:tc>
        <w:tc>
          <w:tcPr>
            <w:tcW w:type="dxa" w:w="2520"/>
          </w:tcPr>
          <w:p>
            <w:r>
              <w:t>Topic 5</w:t>
            </w:r>
          </w:p>
        </w:tc>
        <w:tc>
          <w:tcPr>
            <w:tcW w:type="dxa" w:w="2520"/>
          </w:tcPr>
          <w:p>
            <w:r>
              <w:t>Dendrogram cut and silhouette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K4</w:t>
            </w:r>
          </w:p>
        </w:tc>
        <w:tc>
          <w:tcPr>
            <w:tcW w:type="dxa" w:w="2520"/>
          </w:tcPr>
          <w:p>
            <w:r>
              <w:t>Topic 1</w:t>
            </w:r>
          </w:p>
        </w:tc>
        <w:tc>
          <w:tcPr>
            <w:tcW w:type="dxa" w:w="2520"/>
          </w:tcPr>
          <w:p>
            <w:r>
              <w:t>Supervised vs unsupervised boundary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K5</w:t>
            </w:r>
          </w:p>
        </w:tc>
        <w:tc>
          <w:tcPr>
            <w:tcW w:type="dxa" w:w="2520"/>
          </w:tcPr>
          <w:p>
            <w:r>
              <w:t>Topics 3–5</w:t>
            </w:r>
          </w:p>
        </w:tc>
        <w:tc>
          <w:tcPr>
            <w:tcW w:type="dxa" w:w="2520"/>
          </w:tcPr>
          <w:p>
            <w:r>
              <w:t>Model selection and visual evidence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K6</w:t>
            </w:r>
          </w:p>
        </w:tc>
        <w:tc>
          <w:tcPr>
            <w:tcW w:type="dxa" w:w="2520"/>
          </w:tcPr>
          <w:p>
            <w:r>
              <w:t>Topic 4</w:t>
            </w:r>
          </w:p>
        </w:tc>
        <w:tc>
          <w:tcPr>
            <w:tcW w:type="dxa" w:w="2520"/>
          </w:tcPr>
          <w:p>
            <w:r>
              <w:t>Precision, recall and F1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K7</w:t>
            </w:r>
          </w:p>
        </w:tc>
        <w:tc>
          <w:tcPr>
            <w:tcW w:type="dxa" w:w="2520"/>
          </w:tcPr>
          <w:p>
            <w:r>
              <w:t>Topic 4</w:t>
            </w:r>
          </w:p>
        </w:tc>
        <w:tc>
          <w:tcPr>
            <w:tcW w:type="dxa" w:w="2520"/>
          </w:tcPr>
          <w:p>
            <w:r>
              <w:t>ROC/AUC and threshold policy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K8</w:t>
            </w:r>
          </w:p>
        </w:tc>
        <w:tc>
          <w:tcPr>
            <w:tcW w:type="dxa" w:w="2520"/>
          </w:tcPr>
          <w:p>
            <w:r>
              <w:t>Topic 6</w:t>
            </w:r>
          </w:p>
        </w:tc>
        <w:tc>
          <w:tcPr>
            <w:tcW w:type="dxa" w:w="2520"/>
          </w:tcPr>
          <w:p>
            <w:r>
              <w:t>PCA retained variance</w:t>
            </w:r>
          </w:p>
        </w:tc>
      </w:tr>
      <w:tr>
        <w:tc>
          <w:tcPr>
            <w:tcW w:type="dxa" w:w="2520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K9</w:t>
            </w:r>
          </w:p>
        </w:tc>
        <w:tc>
          <w:tcPr>
            <w:tcW w:type="dxa" w:w="2520"/>
          </w:tcPr>
          <w:p>
            <w:r>
              <w:t>Topic 7</w:t>
            </w:r>
          </w:p>
        </w:tc>
        <w:tc>
          <w:tcPr>
            <w:tcW w:type="dxa" w:w="2520"/>
          </w:tcPr>
          <w:p>
            <w:r>
              <w:t>Support, confidence and lift</w:t>
            </w:r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K10</w:t>
            </w:r>
          </w:p>
        </w:tc>
        <w:tc>
          <w:tcPr>
            <w:tcW w:type="dxa" w:w="2520"/>
          </w:tcPr>
          <w:p>
            <w:r>
              <w:t>Topics 2–3</w:t>
            </w:r>
          </w:p>
        </w:tc>
        <w:tc>
          <w:tcPr>
            <w:tcW w:type="dxa" w:w="2520"/>
          </w:tcPr>
          <w:p>
            <w:r>
              <w:t>Scaling and statistical assumptions</w:t>
            </w:r>
          </w:p>
        </w:tc>
      </w:tr>
    </w:tbl>
    <w:p>
      <w:pPr>
        <w:pStyle w:val="Heading1"/>
      </w:pPr>
      <w:r>
        <w:t>Practical Performance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766E"/>
          </w:tcPr>
          <w:p>
            <w:r>
              <w:t>Task</w:t>
            </w:r>
          </w:p>
        </w:tc>
        <w:tc>
          <w:tcPr>
            <w:tcW w:type="dxa" w:w="2520"/>
            <w:shd w:fill="0F766E"/>
          </w:tcPr>
          <w:p>
            <w:r>
              <w:t>Abilities</w:t>
            </w:r>
          </w:p>
        </w:tc>
        <w:tc>
          <w:tcPr>
            <w:tcW w:type="dxa" w:w="2520"/>
            <w:shd w:fill="0F766E"/>
          </w:tcPr>
          <w:p>
            <w:r>
              <w:t>Aligned labs</w:t>
            </w:r>
          </w:p>
        </w:tc>
        <w:tc>
          <w:tcPr>
            <w:tcW w:type="dxa" w:w="2520"/>
            <w:shd w:fill="0F766E"/>
          </w:tcPr>
          <w:p>
            <w:r>
              <w:t>Required artifact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A1</w:t>
            </w:r>
          </w:p>
        </w:tc>
        <w:tc>
          <w:tcPr>
            <w:tcW w:type="dxa" w:w="2520"/>
          </w:tcPr>
          <w:p>
            <w:r>
              <w:t>Labs 1–3</w:t>
            </w:r>
          </w:p>
        </w:tc>
        <w:tc>
          <w:tcPr>
            <w:tcW w:type="dxa" w:w="2520"/>
          </w:tcPr>
          <w:p>
            <w:r>
              <w:t>Audited, cleaned, joined dataset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A2</w:t>
            </w:r>
          </w:p>
        </w:tc>
        <w:tc>
          <w:tcPr>
            <w:tcW w:type="dxa" w:w="2520"/>
          </w:tcPr>
          <w:p>
            <w:r>
              <w:t>Labs 4–6</w:t>
            </w:r>
          </w:p>
        </w:tc>
        <w:tc>
          <w:tcPr>
            <w:tcW w:type="dxa" w:w="2520"/>
          </w:tcPr>
          <w:p>
            <w:r>
              <w:t>Regression metrics and actual/predicted evidence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A3/A4</w:t>
            </w:r>
          </w:p>
        </w:tc>
        <w:tc>
          <w:tcPr>
            <w:tcW w:type="dxa" w:w="2520"/>
          </w:tcPr>
          <w:p>
            <w:r>
              <w:t>Lab 14</w:t>
            </w:r>
          </w:p>
        </w:tc>
        <w:tc>
          <w:tcPr>
            <w:tcW w:type="dxa" w:w="2520"/>
          </w:tcPr>
          <w:p>
            <w:r>
              <w:t>Frequent itemsets and interpretable rules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A5</w:t>
            </w:r>
          </w:p>
        </w:tc>
        <w:tc>
          <w:tcPr>
            <w:tcW w:type="dxa" w:w="2520"/>
          </w:tcPr>
          <w:p>
            <w:r>
              <w:t>Labs 10–12</w:t>
            </w:r>
          </w:p>
        </w:tc>
        <w:tc>
          <w:tcPr>
            <w:tcW w:type="dxa" w:w="2520"/>
          </w:tcPr>
          <w:p>
            <w:r>
              <w:t>PCA plus clustering output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A6</w:t>
            </w:r>
          </w:p>
        </w:tc>
        <w:tc>
          <w:tcPr>
            <w:tcW w:type="dxa" w:w="2520"/>
          </w:tcPr>
          <w:p>
            <w:r>
              <w:t>Lab 11</w:t>
            </w:r>
          </w:p>
        </w:tc>
        <w:tc>
          <w:tcPr>
            <w:tcW w:type="dxa" w:w="2520"/>
          </w:tcPr>
          <w:p>
            <w:r>
              <w:t>Dendrogram cut and coloured scatter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A7</w:t>
            </w:r>
          </w:p>
        </w:tc>
        <w:tc>
          <w:tcPr>
            <w:tcW w:type="dxa" w:w="2520"/>
          </w:tcPr>
          <w:p>
            <w:r>
              <w:t>Labs 7–8</w:t>
            </w:r>
          </w:p>
        </w:tc>
        <w:tc>
          <w:tcPr>
            <w:tcW w:type="dxa" w:w="2520"/>
          </w:tcPr>
          <w:p>
            <w:r>
              <w:t>Three-classifier experiment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A8/A9</w:t>
            </w:r>
          </w:p>
        </w:tc>
        <w:tc>
          <w:tcPr>
            <w:tcW w:type="dxa" w:w="2520"/>
          </w:tcPr>
          <w:p>
            <w:r>
              <w:t>Lab 9</w:t>
            </w:r>
          </w:p>
        </w:tc>
        <w:tc>
          <w:tcPr>
            <w:tcW w:type="dxa" w:w="2520"/>
          </w:tcPr>
          <w:p>
            <w:r>
              <w:t>Metric comparison, threshold decision, and visual explanation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· TGS-2020503264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25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B25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