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Business Innovation with AI Agents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TGS-2020503395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23.0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as a one-day, eight-hour Business Innovation with AI Agents programme with eight labs and a one-hour WA/OQ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Prior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Superseded prior lesson plan retained only as historical evidence.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Course Information</w:t>
      </w:r>
    </w:p>
    <w:p>
      <w:pPr>
        <w:pStyle w:val="ListBullet"/>
      </w:pPr>
      <w:r>
        <w:t>Learning Outcomes</w:t>
      </w:r>
    </w:p>
    <w:p>
      <w:pPr>
        <w:pStyle w:val="ListBullet"/>
      </w:pPr>
      <w:r>
        <w:t>Assessment</w:t>
      </w:r>
    </w:p>
    <w:p>
      <w:pPr>
        <w:pStyle w:val="ListBullet"/>
      </w:pPr>
      <w:r>
        <w:t>Course Schedule</w:t>
      </w:r>
    </w:p>
    <w:p>
      <w:pPr>
        <w:pStyle w:val="ListBullet"/>
      </w:pPr>
      <w:r>
        <w:t>Topic and Lab Alignment</w:t>
      </w:r>
    </w:p>
    <w:p>
      <w:pPr>
        <w:pStyle w:val="ListBullet"/>
      </w:pPr>
      <w:r>
        <w:t>AI-Agent Use-Case Alignment</w:t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D7A7"/>
          </w:tcPr>
          <w:p>
            <w:r>
              <w:t>Course Title</w:t>
            </w:r>
          </w:p>
        </w:tc>
        <w:tc>
          <w:tcPr>
            <w:tcW w:type="dxa" w:w="4320"/>
          </w:tcPr>
          <w:p>
            <w:r>
              <w:t>Business Innovation with AI Agents</w:t>
            </w:r>
          </w:p>
        </w:tc>
      </w:tr>
      <w:tr>
        <w:tc>
          <w:tcPr>
            <w:tcW w:type="dxa" w:w="4320"/>
            <w:shd w:fill="E8D7A7"/>
          </w:tcPr>
          <w:p>
            <w:r>
              <w:t>WSQ Course Reference</w:t>
            </w:r>
          </w:p>
        </w:tc>
        <w:tc>
          <w:tcPr>
            <w:tcW w:type="dxa" w:w="4320"/>
          </w:tcPr>
          <w:p>
            <w:r>
              <w:t>TGS-2020503395</w:t>
            </w:r>
          </w:p>
        </w:tc>
      </w:tr>
      <w:tr>
        <w:tc>
          <w:tcPr>
            <w:tcW w:type="dxa" w:w="4320"/>
            <w:shd w:fill="E8D7A7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Tertiary Infotech Academy Pte Ltd (UEN 201200696W)</w:t>
            </w:r>
          </w:p>
        </w:tc>
      </w:tr>
      <w:tr>
        <w:tc>
          <w:tcPr>
            <w:tcW w:type="dxa" w:w="4320"/>
            <w:shd w:fill="E8D7A7"/>
          </w:tcPr>
          <w:p>
            <w:r>
              <w:t>Training Duration</w:t>
            </w:r>
          </w:p>
        </w:tc>
        <w:tc>
          <w:tcPr>
            <w:tcW w:type="dxa" w:w="4320"/>
          </w:tcPr>
          <w:p>
            <w:r>
              <w:t>1 day · 8 training hours</w:t>
            </w:r>
          </w:p>
        </w:tc>
      </w:tr>
      <w:tr>
        <w:tc>
          <w:tcPr>
            <w:tcW w:type="dxa" w:w="4320"/>
            <w:shd w:fill="E8D7A7"/>
          </w:tcPr>
          <w:p>
            <w:r>
              <w:t>Assessment Duration</w:t>
            </w:r>
          </w:p>
        </w:tc>
        <w:tc>
          <w:tcPr>
            <w:tcW w:type="dxa" w:w="4320"/>
          </w:tcPr>
          <w:p>
            <w:r>
              <w:t>1 hour after training</w:t>
            </w:r>
          </w:p>
        </w:tc>
      </w:tr>
      <w:tr>
        <w:tc>
          <w:tcPr>
            <w:tcW w:type="dxa" w:w="4320"/>
            <w:shd w:fill="E8D7A7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Instructor-led business innovation, visual mechanisms, ten industry use cases and eight self-contained Hermes labs</w:t>
            </w:r>
          </w:p>
        </w:tc>
      </w:tr>
      <w:tr>
        <w:tc>
          <w:tcPr>
            <w:tcW w:type="dxa" w:w="4320"/>
            <w:shd w:fill="E8D7A7"/>
          </w:tcPr>
          <w:p>
            <w:r>
              <w:t>Trainer</w:t>
            </w:r>
          </w:p>
        </w:tc>
        <w:tc>
          <w:tcPr>
            <w:tcW w:type="dxa" w:w="4320"/>
          </w:tcPr>
          <w:p>
            <w: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Compare the 2023 prompt, 2024 context, 2025 harness and 2026 agent engineering paradigms and evaluate their impact on business models.</w:t>
      </w:r>
    </w:p>
    <w:p>
      <w:pPr>
        <w:pStyle w:val="ListBullet"/>
      </w:pPr>
      <w:r>
        <w:t>LO2: Identify and prioritise realistic AI-agent opportunities using process evidence, value measures and human accountability.</w:t>
      </w:r>
    </w:p>
    <w:p>
      <w:pPr>
        <w:pStyle w:val="ListBullet"/>
      </w:pPr>
      <w:r>
        <w:t>LO3: Digitalise a bounded workflow with Hermes Agent tools, context, memory, skills and specialist subagents.</w:t>
      </w:r>
    </w:p>
    <w:p>
      <w:pPr>
        <w:pStyle w:val="ListBullet"/>
      </w:pPr>
      <w:r>
        <w:t>LO4: Conduct feasibility and cost-benefit analysis for an AI-agent pilot using measurable assumptions and risk-adjusted controls.</w:t>
      </w:r>
    </w:p>
    <w:p>
      <w:pPr>
        <w:pStyle w:val="ListBullet"/>
      </w:pPr>
      <w:r>
        <w:t>LO5: Implement and evaluate a governed multi-agent marketing or video campaign with security, data governance and human release approval.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(SAQ): 30 minutes, five questions mapped to A1–A5.</w:t>
      </w:r>
    </w:p>
    <w:p>
      <w:pPr>
        <w:pStyle w:val="ListBullet"/>
      </w:pPr>
      <w:r>
        <w:t>Oral Questioning (OQ): 30 minutes, five questions mapped to K1–K4.</w:t>
      </w:r>
    </w:p>
    <w:p>
      <w:pPr>
        <w:pStyle w:val="ListBullet"/>
      </w:pPr>
      <w:r>
        <w:t>Assessment occurs after the eight training hours on Day 1.</w:t>
      </w:r>
    </w:p>
    <w:p>
      <w:pPr>
        <w:pStyle w:val="ListBullet"/>
      </w:pPr>
      <w:r>
        <w:t>Candidates must be competent in both instruments.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fill="302B24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fill="302B24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302B24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2160"/>
            <w:shd w:fill="302B24"/>
          </w:tcPr>
          <w:p>
            <w:r>
              <w:rPr>
                <w:b/>
                <w:color w:val="FFFFFF"/>
              </w:rPr>
              <w:t>Slide / Resource</w:t>
            </w:r>
          </w:p>
        </w:tc>
      </w:tr>
      <w:tr>
        <w:tc>
          <w:tcPr>
            <w:tcW w:type="dxa" w:w="2160"/>
          </w:tcPr>
          <w:p>
            <w:r>
              <w:t>09:00–09:15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Welcome, AM digital attendance and assessment briefing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E8D7A7"/>
          </w:tcPr>
          <w:p>
            <w:r>
              <w:t>09:15–10:05</w:t>
            </w:r>
          </w:p>
        </w:tc>
        <w:tc>
          <w:tcPr>
            <w:tcW w:type="dxa" w:w="2160"/>
            <w:shd w:fill="E8D7A7"/>
          </w:tcPr>
          <w:p>
            <w:r>
              <w:t>50 min</w:t>
            </w:r>
          </w:p>
        </w:tc>
        <w:tc>
          <w:tcPr>
            <w:tcW w:type="dxa" w:w="2160"/>
            <w:shd w:fill="E8D7A7"/>
          </w:tcPr>
          <w:p>
            <w:r>
              <w:t>Topic 1 — AI Engineering Evolution and Agent Architecture</w:t>
            </w:r>
          </w:p>
        </w:tc>
        <w:tc>
          <w:tcPr>
            <w:tcW w:type="dxa" w:w="2160"/>
            <w:shd w:fill="E8D7A7"/>
          </w:tcPr>
          <w:p>
            <w:r>
              <w:t>Slides 16 onward</w:t>
            </w:r>
          </w:p>
        </w:tc>
      </w:tr>
      <w:tr>
        <w:tc>
          <w:tcPr>
            <w:tcW w:type="dxa" w:w="2160"/>
            <w:shd w:fill="F3F3F3"/>
          </w:tcPr>
          <w:p>
            <w:r>
              <w:t>10:05–10:20</w:t>
            </w:r>
          </w:p>
        </w:tc>
        <w:tc>
          <w:tcPr>
            <w:tcW w:type="dxa" w:w="2160"/>
            <w:shd w:fill="F3F3F3"/>
          </w:tcPr>
          <w:p>
            <w:r>
              <w:t>15 min</w:t>
            </w:r>
          </w:p>
        </w:tc>
        <w:tc>
          <w:tcPr>
            <w:tcW w:type="dxa" w:w="2160"/>
            <w:shd w:fill="F3F3F3"/>
          </w:tcPr>
          <w:p>
            <w:r>
              <w:t>Tea break</w:t>
            </w:r>
          </w:p>
        </w:tc>
        <w:tc>
          <w:tcPr>
            <w:tcW w:type="dxa" w:w="2160"/>
            <w:shd w:fill="F3F3F3"/>
          </w:tcPr>
          <w:p>
            <w:r/>
          </w:p>
        </w:tc>
      </w:tr>
      <w:tr>
        <w:tc>
          <w:tcPr>
            <w:tcW w:type="dxa" w:w="2160"/>
            <w:shd w:fill="E4F2EF"/>
          </w:tcPr>
          <w:p>
            <w:r>
              <w:t>10:20–11:05</w:t>
            </w:r>
          </w:p>
        </w:tc>
        <w:tc>
          <w:tcPr>
            <w:tcW w:type="dxa" w:w="2160"/>
            <w:shd w:fill="E4F2EF"/>
          </w:tcPr>
          <w:p>
            <w:r>
              <w:t>45 min</w:t>
            </w:r>
          </w:p>
        </w:tc>
        <w:tc>
          <w:tcPr>
            <w:tcW w:type="dxa" w:w="2160"/>
            <w:shd w:fill="E4F2EF"/>
          </w:tcPr>
          <w:p>
            <w:r>
              <w:t>Labs 1–2 — Install Hermes and engineer a task context</w:t>
            </w:r>
          </w:p>
        </w:tc>
        <w:tc>
          <w:tcPr>
            <w:tcW w:type="dxa" w:w="2160"/>
            <w:shd w:fill="E4F2EF"/>
          </w:tcPr>
          <w:p>
            <w:r/>
          </w:p>
        </w:tc>
      </w:tr>
      <w:tr>
        <w:tc>
          <w:tcPr>
            <w:tcW w:type="dxa" w:w="2160"/>
            <w:shd w:fill="E8D7A7"/>
          </w:tcPr>
          <w:p>
            <w:r>
              <w:t>11:05–11:45</w:t>
            </w:r>
          </w:p>
        </w:tc>
        <w:tc>
          <w:tcPr>
            <w:tcW w:type="dxa" w:w="2160"/>
            <w:shd w:fill="E8D7A7"/>
          </w:tcPr>
          <w:p>
            <w:r>
              <w:t>40 min</w:t>
            </w:r>
          </w:p>
        </w:tc>
        <w:tc>
          <w:tcPr>
            <w:tcW w:type="dxa" w:w="2160"/>
            <w:shd w:fill="E8D7A7"/>
          </w:tcPr>
          <w:p>
            <w:r>
              <w:t>Topic 2 — Business Opportunities and Feasibility</w:t>
            </w:r>
          </w:p>
        </w:tc>
        <w:tc>
          <w:tcPr>
            <w:tcW w:type="dxa" w:w="2160"/>
            <w:shd w:fill="E8D7A7"/>
          </w:tcPr>
          <w:p>
            <w:r>
              <w:t>Slides 44 onward</w:t>
            </w:r>
          </w:p>
        </w:tc>
      </w:tr>
      <w:tr>
        <w:tc>
          <w:tcPr>
            <w:tcW w:type="dxa" w:w="2160"/>
            <w:shd w:fill="E4F2EF"/>
          </w:tcPr>
          <w:p>
            <w:r>
              <w:t>11:45–12:30</w:t>
            </w:r>
          </w:p>
        </w:tc>
        <w:tc>
          <w:tcPr>
            <w:tcW w:type="dxa" w:w="2160"/>
            <w:shd w:fill="E4F2EF"/>
          </w:tcPr>
          <w:p>
            <w:r>
              <w:t>45 min</w:t>
            </w:r>
          </w:p>
        </w:tc>
        <w:tc>
          <w:tcPr>
            <w:tcW w:type="dxa" w:w="2160"/>
            <w:shd w:fill="E4F2EF"/>
          </w:tcPr>
          <w:p>
            <w:r>
              <w:t>Lab 6 — Prioritise ten industry use cases</w:t>
            </w:r>
          </w:p>
        </w:tc>
        <w:tc>
          <w:tcPr>
            <w:tcW w:type="dxa" w:w="2160"/>
            <w:shd w:fill="E4F2EF"/>
          </w:tcPr>
          <w:p>
            <w:r>
              <w:t>Lab 6 folder + Learner Guide</w:t>
            </w:r>
          </w:p>
        </w:tc>
      </w:tr>
      <w:tr>
        <w:tc>
          <w:tcPr>
            <w:tcW w:type="dxa" w:w="2160"/>
            <w:shd w:fill="F7F0DE"/>
          </w:tcPr>
          <w:p>
            <w:r>
              <w:t>12:30–13:15</w:t>
            </w:r>
          </w:p>
        </w:tc>
        <w:tc>
          <w:tcPr>
            <w:tcW w:type="dxa" w:w="2160"/>
            <w:shd w:fill="F7F0DE"/>
          </w:tcPr>
          <w:p>
            <w:r>
              <w:t>45 min</w:t>
            </w:r>
          </w:p>
        </w:tc>
        <w:tc>
          <w:tcPr>
            <w:tcW w:type="dxa" w:w="2160"/>
            <w:shd w:fill="F7F0DE"/>
          </w:tcPr>
          <w:p>
            <w:r>
              <w:t>Lunch break</w:t>
            </w:r>
          </w:p>
        </w:tc>
        <w:tc>
          <w:tcPr>
            <w:tcW w:type="dxa" w:w="2160"/>
            <w:shd w:fill="F7F0DE"/>
          </w:tcPr>
          <w:p>
            <w:r/>
          </w:p>
        </w:tc>
      </w:tr>
      <w:tr>
        <w:tc>
          <w:tcPr>
            <w:tcW w:type="dxa" w:w="2160"/>
            <w:shd w:fill="E8D7A7"/>
          </w:tcPr>
          <w:p>
            <w:r>
              <w:t>13:15–14:00</w:t>
            </w:r>
          </w:p>
        </w:tc>
        <w:tc>
          <w:tcPr>
            <w:tcW w:type="dxa" w:w="2160"/>
            <w:shd w:fill="E8D7A7"/>
          </w:tcPr>
          <w:p>
            <w:r>
              <w:t>45 min</w:t>
            </w:r>
          </w:p>
        </w:tc>
        <w:tc>
          <w:tcPr>
            <w:tcW w:type="dxa" w:w="2160"/>
            <w:shd w:fill="E8D7A7"/>
          </w:tcPr>
          <w:p>
            <w:r>
              <w:t>Topic 3 — Hermes Agent Harness in Practice</w:t>
            </w:r>
          </w:p>
        </w:tc>
        <w:tc>
          <w:tcPr>
            <w:tcW w:type="dxa" w:w="2160"/>
            <w:shd w:fill="E8D7A7"/>
          </w:tcPr>
          <w:p>
            <w:r>
              <w:t>Slides 61 onward</w:t>
            </w:r>
          </w:p>
        </w:tc>
      </w:tr>
      <w:tr>
        <w:tc>
          <w:tcPr>
            <w:tcW w:type="dxa" w:w="2160"/>
            <w:shd w:fill="E4F2EF"/>
          </w:tcPr>
          <w:p>
            <w:r>
              <w:t>14:00–15:05</w:t>
            </w:r>
          </w:p>
        </w:tc>
        <w:tc>
          <w:tcPr>
            <w:tcW w:type="dxa" w:w="2160"/>
            <w:shd w:fill="E4F2EF"/>
          </w:tcPr>
          <w:p>
            <w:r>
              <w:t>65 min</w:t>
            </w:r>
          </w:p>
        </w:tc>
        <w:tc>
          <w:tcPr>
            <w:tcW w:type="dxa" w:w="2160"/>
            <w:shd w:fill="E4F2EF"/>
          </w:tcPr>
          <w:p>
            <w:r>
              <w:t>Labs 3–4 — Tools, MCP, memory and skills</w:t>
            </w:r>
          </w:p>
        </w:tc>
        <w:tc>
          <w:tcPr>
            <w:tcW w:type="dxa" w:w="2160"/>
            <w:shd w:fill="E4F2EF"/>
          </w:tcPr>
          <w:p>
            <w:r/>
          </w:p>
        </w:tc>
      </w:tr>
      <w:tr>
        <w:tc>
          <w:tcPr>
            <w:tcW w:type="dxa" w:w="2160"/>
            <w:shd w:fill="F3F3F3"/>
          </w:tcPr>
          <w:p>
            <w:r>
              <w:t>15:05–15:20</w:t>
            </w:r>
          </w:p>
        </w:tc>
        <w:tc>
          <w:tcPr>
            <w:tcW w:type="dxa" w:w="2160"/>
            <w:shd w:fill="F3F3F3"/>
          </w:tcPr>
          <w:p>
            <w:r>
              <w:t>15 min</w:t>
            </w:r>
          </w:p>
        </w:tc>
        <w:tc>
          <w:tcPr>
            <w:tcW w:type="dxa" w:w="2160"/>
            <w:shd w:fill="F3F3F3"/>
          </w:tcPr>
          <w:p>
            <w:r>
              <w:t>Tea break</w:t>
            </w:r>
          </w:p>
        </w:tc>
        <w:tc>
          <w:tcPr>
            <w:tcW w:type="dxa" w:w="2160"/>
            <w:shd w:fill="F3F3F3"/>
          </w:tcPr>
          <w:p>
            <w:r/>
          </w:p>
        </w:tc>
      </w:tr>
      <w:tr>
        <w:tc>
          <w:tcPr>
            <w:tcW w:type="dxa" w:w="2160"/>
            <w:shd w:fill="E8D7A7"/>
          </w:tcPr>
          <w:p>
            <w:r>
              <w:t>15:20–16:00</w:t>
            </w:r>
          </w:p>
        </w:tc>
        <w:tc>
          <w:tcPr>
            <w:tcW w:type="dxa" w:w="2160"/>
            <w:shd w:fill="E8D7A7"/>
          </w:tcPr>
          <w:p>
            <w:r>
              <w:t>40 min</w:t>
            </w:r>
          </w:p>
        </w:tc>
        <w:tc>
          <w:tcPr>
            <w:tcW w:type="dxa" w:w="2160"/>
            <w:shd w:fill="E8D7A7"/>
          </w:tcPr>
          <w:p>
            <w:r>
              <w:t>Topic 4 — Multi-Agent Campaign Orchestration</w:t>
            </w:r>
          </w:p>
        </w:tc>
        <w:tc>
          <w:tcPr>
            <w:tcW w:type="dxa" w:w="2160"/>
            <w:shd w:fill="E8D7A7"/>
          </w:tcPr>
          <w:p>
            <w:r>
              <w:t>Slides 84 onward</w:t>
            </w:r>
          </w:p>
        </w:tc>
      </w:tr>
      <w:tr>
        <w:tc>
          <w:tcPr>
            <w:tcW w:type="dxa" w:w="2160"/>
            <w:shd w:fill="E4F2EF"/>
          </w:tcPr>
          <w:p>
            <w:r>
              <w:t>16:00–16:45</w:t>
            </w:r>
          </w:p>
        </w:tc>
        <w:tc>
          <w:tcPr>
            <w:tcW w:type="dxa" w:w="2160"/>
            <w:shd w:fill="E4F2EF"/>
          </w:tcPr>
          <w:p>
            <w:r>
              <w:t>45 min</w:t>
            </w:r>
          </w:p>
        </w:tc>
        <w:tc>
          <w:tcPr>
            <w:tcW w:type="dxa" w:w="2160"/>
            <w:shd w:fill="E4F2EF"/>
          </w:tcPr>
          <w:p>
            <w:r>
              <w:t>Labs 5 and 7 — Subagents and marketing campaign</w:t>
            </w:r>
          </w:p>
        </w:tc>
        <w:tc>
          <w:tcPr>
            <w:tcW w:type="dxa" w:w="2160"/>
            <w:shd w:fill="E4F2EF"/>
          </w:tcPr>
          <w:p>
            <w:r/>
          </w:p>
        </w:tc>
      </w:tr>
      <w:tr>
        <w:tc>
          <w:tcPr>
            <w:tcW w:type="dxa" w:w="2160"/>
            <w:shd w:fill="E8D7A7"/>
          </w:tcPr>
          <w:p>
            <w:r>
              <w:t>16:45–17:00</w:t>
            </w:r>
          </w:p>
        </w:tc>
        <w:tc>
          <w:tcPr>
            <w:tcW w:type="dxa" w:w="2160"/>
            <w:shd w:fill="E8D7A7"/>
          </w:tcPr>
          <w:p>
            <w:r>
              <w:t>15 min</w:t>
            </w:r>
          </w:p>
        </w:tc>
        <w:tc>
          <w:tcPr>
            <w:tcW w:type="dxa" w:w="2160"/>
            <w:shd w:fill="E8D7A7"/>
          </w:tcPr>
          <w:p>
            <w:r>
              <w:t>Topic 5 — Security Governance and Implementation</w:t>
            </w:r>
          </w:p>
        </w:tc>
        <w:tc>
          <w:tcPr>
            <w:tcW w:type="dxa" w:w="2160"/>
            <w:shd w:fill="E8D7A7"/>
          </w:tcPr>
          <w:p>
            <w:r>
              <w:t>Slides 105 onward</w:t>
            </w:r>
          </w:p>
        </w:tc>
      </w:tr>
      <w:tr>
        <w:tc>
          <w:tcPr>
            <w:tcW w:type="dxa" w:w="2160"/>
            <w:shd w:fill="E4F2EF"/>
          </w:tcPr>
          <w:p>
            <w:r>
              <w:t>17:00–17:45</w:t>
            </w:r>
          </w:p>
        </w:tc>
        <w:tc>
          <w:tcPr>
            <w:tcW w:type="dxa" w:w="2160"/>
            <w:shd w:fill="E4F2EF"/>
          </w:tcPr>
          <w:p>
            <w:r>
              <w:t>45 min</w:t>
            </w:r>
          </w:p>
        </w:tc>
        <w:tc>
          <w:tcPr>
            <w:tcW w:type="dxa" w:w="2160"/>
            <w:shd w:fill="E4F2EF"/>
          </w:tcPr>
          <w:p>
            <w:r>
              <w:t>Lab 8 and integrated course review</w:t>
            </w:r>
          </w:p>
        </w:tc>
        <w:tc>
          <w:tcPr>
            <w:tcW w:type="dxa" w:w="2160"/>
            <w:shd w:fill="E4F2EF"/>
          </w:tcPr>
          <w:p>
            <w:r>
              <w:t>Lab 8 folder + Learner Guide</w:t>
            </w:r>
          </w:p>
        </w:tc>
      </w:tr>
      <w:tr>
        <w:tc>
          <w:tcPr>
            <w:tcW w:type="dxa" w:w="2160"/>
            <w:shd w:fill="E8E1F7"/>
          </w:tcPr>
          <w:p>
            <w:r>
              <w:t>17:45–18:15</w:t>
            </w:r>
          </w:p>
        </w:tc>
        <w:tc>
          <w:tcPr>
            <w:tcW w:type="dxa" w:w="2160"/>
            <w:shd w:fill="E8E1F7"/>
          </w:tcPr>
          <w:p>
            <w:r>
              <w:t>30 min</w:t>
            </w:r>
          </w:p>
        </w:tc>
        <w:tc>
          <w:tcPr>
            <w:tcW w:type="dxa" w:w="2160"/>
            <w:shd w:fill="E8E1F7"/>
          </w:tcPr>
          <w:p>
            <w:r>
              <w:t>Written Assessment (SAQ), open book</w:t>
            </w:r>
          </w:p>
        </w:tc>
        <w:tc>
          <w:tcPr>
            <w:tcW w:type="dxa" w:w="2160"/>
            <w:shd w:fill="E8E1F7"/>
          </w:tcPr>
          <w:p>
            <w:r>
              <w:t>Assessment question paper</w:t>
            </w:r>
          </w:p>
        </w:tc>
      </w:tr>
      <w:tr>
        <w:tc>
          <w:tcPr>
            <w:tcW w:type="dxa" w:w="2160"/>
            <w:shd w:fill="E8E1F7"/>
          </w:tcPr>
          <w:p>
            <w:r>
              <w:t>18:15–18:45</w:t>
            </w:r>
          </w:p>
        </w:tc>
        <w:tc>
          <w:tcPr>
            <w:tcW w:type="dxa" w:w="2160"/>
            <w:shd w:fill="E8E1F7"/>
          </w:tcPr>
          <w:p>
            <w:r>
              <w:t>30 min</w:t>
            </w:r>
          </w:p>
        </w:tc>
        <w:tc>
          <w:tcPr>
            <w:tcW w:type="dxa" w:w="2160"/>
            <w:shd w:fill="E8E1F7"/>
          </w:tcPr>
          <w:p>
            <w:r>
              <w:t>Oral Questioning (OQ)</w:t>
            </w:r>
          </w:p>
        </w:tc>
        <w:tc>
          <w:tcPr>
            <w:tcW w:type="dxa" w:w="2160"/>
            <w:shd w:fill="E8E1F7"/>
          </w:tcPr>
          <w:p>
            <w:r>
              <w:t>Assessment question paper</w:t>
            </w:r>
          </w:p>
        </w:tc>
      </w:tr>
    </w:tbl>
    <w:p>
      <w:r>
        <w:rPr>
          <w:i/>
        </w:rPr>
        <w:t>Day 1 training time: 480 minutes (8 hours).</w:t>
      </w:r>
    </w:p>
    <w:p>
      <w:r>
        <w:t>Assessment after training: 60 minutes (1 hour).</w:t>
      </w:r>
    </w:p>
    <w:p>
      <w:pPr>
        <w:pStyle w:val="Heading1"/>
      </w:pPr>
      <w:r>
        <w:t>Topic and Lab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02B24"/>
          </w:tcPr>
          <w:p>
            <w:r>
              <w:t>Topic</w:t>
            </w:r>
          </w:p>
        </w:tc>
        <w:tc>
          <w:tcPr>
            <w:tcW w:type="dxa" w:w="2160"/>
            <w:shd w:fill="302B24"/>
          </w:tcPr>
          <w:p>
            <w:r>
              <w:t>Learning focus</w:t>
            </w:r>
          </w:p>
        </w:tc>
        <w:tc>
          <w:tcPr>
            <w:tcW w:type="dxa" w:w="2160"/>
            <w:shd w:fill="302B24"/>
          </w:tcPr>
          <w:p>
            <w:r>
              <w:t>Labs</w:t>
            </w:r>
          </w:p>
        </w:tc>
        <w:tc>
          <w:tcPr>
            <w:tcW w:type="dxa" w:w="2160"/>
            <w:shd w:fill="302B24"/>
          </w:tcPr>
          <w:p>
            <w:r>
              <w:t>First slide</w:t>
            </w:r>
          </w:p>
        </w:tc>
      </w:tr>
      <w:tr>
        <w:tc>
          <w:tcPr>
            <w:tcW w:type="dxa" w:w="2160"/>
          </w:tcPr>
          <w:p>
            <w:r>
              <w:t>Topic 1</w:t>
            </w:r>
          </w:p>
        </w:tc>
        <w:tc>
          <w:tcPr>
            <w:tcW w:type="dxa" w:w="2160"/>
          </w:tcPr>
          <w:p>
            <w:r>
              <w:t>AI Engineering Evolution and Agent Architecture</w:t>
            </w:r>
          </w:p>
        </w:tc>
        <w:tc>
          <w:tcPr>
            <w:tcW w:type="dxa" w:w="2160"/>
          </w:tcPr>
          <w:p>
            <w:r>
              <w:t>Lab 1, Lab 2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Topic 2</w:t>
            </w:r>
          </w:p>
        </w:tc>
        <w:tc>
          <w:tcPr>
            <w:tcW w:type="dxa" w:w="2160"/>
          </w:tcPr>
          <w:p>
            <w:r>
              <w:t>Business Opportunities and Feasibility</w:t>
            </w:r>
          </w:p>
        </w:tc>
        <w:tc>
          <w:tcPr>
            <w:tcW w:type="dxa" w:w="2160"/>
          </w:tcPr>
          <w:p>
            <w:r>
              <w:t>Lab 6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Topic 3</w:t>
            </w:r>
          </w:p>
        </w:tc>
        <w:tc>
          <w:tcPr>
            <w:tcW w:type="dxa" w:w="2160"/>
          </w:tcPr>
          <w:p>
            <w:r>
              <w:t>Hermes Agent Harness in Practice</w:t>
            </w:r>
          </w:p>
        </w:tc>
        <w:tc>
          <w:tcPr>
            <w:tcW w:type="dxa" w:w="2160"/>
          </w:tcPr>
          <w:p>
            <w:r>
              <w:t>Lab 1, Lab 2, Lab 3, Lab 4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Topic 4</w:t>
            </w:r>
          </w:p>
        </w:tc>
        <w:tc>
          <w:tcPr>
            <w:tcW w:type="dxa" w:w="2160"/>
          </w:tcPr>
          <w:p>
            <w:r>
              <w:t>Multi-Agent Campaign Orchestration</w:t>
            </w:r>
          </w:p>
        </w:tc>
        <w:tc>
          <w:tcPr>
            <w:tcW w:type="dxa" w:w="2160"/>
          </w:tcPr>
          <w:p>
            <w:r>
              <w:t>Lab 5, Lab 7, Lab 8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Topic 5</w:t>
            </w:r>
          </w:p>
        </w:tc>
        <w:tc>
          <w:tcPr>
            <w:tcW w:type="dxa" w:w="2160"/>
          </w:tcPr>
          <w:p>
            <w:r>
              <w:t>Security Governance and Implementation</w:t>
            </w:r>
          </w:p>
        </w:tc>
        <w:tc>
          <w:tcPr>
            <w:tcW w:type="dxa" w:w="2160"/>
          </w:tcPr>
          <w:p>
            <w:r>
              <w:t>Lab 8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</w:tbl>
    <w:p>
      <w:pPr>
        <w:pStyle w:val="Heading1"/>
      </w:pPr>
      <w:r>
        <w:t>AI-Agent Use-Case Alignment</w:t>
      </w:r>
    </w:p>
    <w:p>
      <w:r>
        <w:t>The ten patterns are realistic business reference implementations inside Topics 1 and 2. Learners identify trigger, capability graph, reviewable output, evidence, risk and named human gate; the gallery does not extend the approved eight training hours.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02B24"/>
          </w:tcPr>
          <w:p>
            <w:r>
              <w:t>Domain</w:t>
            </w:r>
          </w:p>
        </w:tc>
        <w:tc>
          <w:tcPr>
            <w:tcW w:type="dxa" w:w="2880"/>
            <w:shd w:fill="302B24"/>
          </w:tcPr>
          <w:p>
            <w:r>
              <w:t>Use-case IDs</w:t>
            </w:r>
          </w:p>
        </w:tc>
        <w:tc>
          <w:tcPr>
            <w:tcW w:type="dxa" w:w="2880"/>
            <w:shd w:fill="302B24"/>
          </w:tcPr>
          <w:p>
            <w:r>
              <w:t>Teaching emphasis</w:t>
            </w:r>
          </w:p>
        </w:tc>
      </w:tr>
      <w:tr>
        <w:tc>
          <w:tcPr>
            <w:tcW w:type="dxa" w:w="2880"/>
          </w:tcPr>
          <w:p>
            <w:r>
              <w:t>Customer and Revenue</w:t>
            </w:r>
          </w:p>
        </w:tc>
        <w:tc>
          <w:tcPr>
            <w:tcW w:type="dxa" w:w="2880"/>
          </w:tcPr>
          <w:p>
            <w:r>
              <w:t>UC-01–UC-02</w:t>
            </w:r>
          </w:p>
        </w:tc>
        <w:tc>
          <w:tcPr>
            <w:tcW w:type="dxa" w:w="2880"/>
          </w:tcPr>
          <w:p>
            <w:r>
              <w:t>Draft, analyse and recommend while people retain customer and commercial authority.</w:t>
            </w:r>
          </w:p>
        </w:tc>
      </w:tr>
      <w:tr>
        <w:tc>
          <w:tcPr>
            <w:tcW w:type="dxa" w:w="2880"/>
          </w:tcPr>
          <w:p>
            <w:r>
              <w:t>Operations and Supply</w:t>
            </w:r>
          </w:p>
        </w:tc>
        <w:tc>
          <w:tcPr>
            <w:tcW w:type="dxa" w:w="2880"/>
          </w:tcPr>
          <w:p>
            <w:r>
              <w:t>UC-03–UC-04</w:t>
            </w:r>
          </w:p>
        </w:tc>
        <w:tc>
          <w:tcPr>
            <w:tcW w:type="dxa" w:w="2880"/>
          </w:tcPr>
          <w:p>
            <w:r>
              <w:t>Convert recurring operating signals into exception queues and reviewable decisions.</w:t>
            </w:r>
          </w:p>
        </w:tc>
      </w:tr>
      <w:tr>
        <w:tc>
          <w:tcPr>
            <w:tcW w:type="dxa" w:w="2880"/>
          </w:tcPr>
          <w:p>
            <w:r>
              <w:t>Regulated Knowledge Work</w:t>
            </w:r>
          </w:p>
        </w:tc>
        <w:tc>
          <w:tcPr>
            <w:tcW w:type="dxa" w:w="2880"/>
          </w:tcPr>
          <w:p>
            <w:r>
              <w:t>UC-05–UC-06</w:t>
            </w:r>
          </w:p>
        </w:tc>
        <w:tc>
          <w:tcPr>
            <w:tcW w:type="dxa" w:w="2880"/>
          </w:tcPr>
          <w:p>
            <w:r>
              <w:t>Ground high-stakes analysis in approved sources and qualified review.</w:t>
            </w:r>
          </w:p>
        </w:tc>
      </w:tr>
      <w:tr>
        <w:tc>
          <w:tcPr>
            <w:tcW w:type="dxa" w:w="2880"/>
          </w:tcPr>
          <w:p>
            <w:r>
              <w:t>People and Public Service</w:t>
            </w:r>
          </w:p>
        </w:tc>
        <w:tc>
          <w:tcPr>
            <w:tcW w:type="dxa" w:w="2880"/>
          </w:tcPr>
          <w:p>
            <w:r>
              <w:t>UC-07–UC-08</w:t>
            </w:r>
          </w:p>
        </w:tc>
        <w:tc>
          <w:tcPr>
            <w:tcW w:type="dxa" w:w="2880"/>
          </w:tcPr>
          <w:p>
            <w:r>
              <w:t>Improve access and routing without delegating sensitive employment or public decisions.</w:t>
            </w:r>
          </w:p>
        </w:tc>
      </w:tr>
      <w:tr>
        <w:tc>
          <w:tcPr>
            <w:tcW w:type="dxa" w:w="2880"/>
          </w:tcPr>
          <w:p>
            <w:r>
              <w:t>Marketing and Media</w:t>
            </w:r>
          </w:p>
        </w:tc>
        <w:tc>
          <w:tcPr>
            <w:tcW w:type="dxa" w:w="2880"/>
          </w:tcPr>
          <w:p>
            <w:r>
              <w:t>UC-09–UC-10</w:t>
            </w:r>
          </w:p>
        </w:tc>
        <w:tc>
          <w:tcPr>
            <w:tcW w:type="dxa" w:w="2880"/>
          </w:tcPr>
          <w:p>
            <w:r>
              <w:t>Separate research, creation, review and publication into accountable specialist roles.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