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1: Install Hermes Agent and Run a Safe First Session</w:t>
      </w:r>
    </w:p>
    <w:p>
      <w:r>
        <w:t>Business Innovation with AI Agents · TGS-2020503395 · 35 minutes</w:t>
      </w:r>
    </w:p>
    <w:p>
      <w:pPr>
        <w:pStyle w:val="Heading1"/>
      </w:pPr>
      <w:r>
        <w:t>Objective</w:t>
      </w:r>
    </w:p>
    <w:p>
      <w:r>
        <w:t>Install Hermes through the official path, complete provider setup, verify the runtime and run a bounded read-only task.</w:t>
      </w:r>
    </w:p>
    <w:p>
      <w:pPr>
        <w:pStyle w:val="Heading1"/>
      </w:pPr>
      <w:r>
        <w:t>Deliverable</w:t>
      </w:r>
    </w:p>
    <w:p>
      <w:r>
        <w:t>An installation verification record with version, doctor result, provider route, session evidence and cleanup status.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A provider account or trainer-provided classroom route; never submit its credential.</w:t>
      </w:r>
    </w:p>
    <w:p>
      <w:pPr>
        <w:pStyle w:val="Heading1"/>
      </w:pPr>
      <w:r>
        <w:t>Procedure</w:t>
      </w:r>
    </w:p>
    <w:p>
      <w:r>
        <w:rPr>
          <w:b/>
        </w:rPr>
        <w:t>Step 1. Open the official Hermes repository and verify the publisher is NousResearch and the connection uses HTTPS.</w:t>
      </w:r>
    </w:p>
    <w:p>
      <w:pPr>
        <w:keepNext/>
      </w:pPr>
      <w:r>
        <w:rPr>
          <w:b/>
        </w:rPr>
        <w:t>Step 2. Review the installer before execution if required by organisational policy. On macOS, Linux or WSL2, run the official installer.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curl -fsSL https://hermes-agent.nousresearch.com/install.sh | bash</w:t>
      </w:r>
    </w:p>
    <w:p>
      <w:pPr>
        <w:keepNext/>
      </w:pPr>
      <w:r>
        <w:rPr>
          <w:b/>
        </w:rPr>
        <w:t>Step 3. Reload the shell so the hermes command is on PATH.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source ~/.zshrc  # macOS zsh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# or: source ~/.bashrc</w:t>
      </w:r>
    </w:p>
    <w:p>
      <w:pPr>
        <w:keepNext/>
      </w:pPr>
      <w:r>
        <w:rPr>
          <w:b/>
        </w:rPr>
        <w:t>Step 4. Start the setup wizard. Select the trainer-approved provider and store credentials only in the Hermes-managed location.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setup</w:t>
      </w:r>
    </w:p>
    <w:p>
      <w:pPr>
        <w:keepNext/>
      </w:pPr>
      <w:r>
        <w:rPr>
          <w:b/>
        </w:rPr>
        <w:t>Step 5. Record version and diagnostics without recording secret values.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--version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doctor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config check</w:t>
      </w:r>
    </w:p>
    <w:p>
      <w:pPr>
        <w:keepNext/>
      </w:pPr>
      <w:r>
        <w:rPr>
          <w:b/>
        </w:rPr>
        <w:t>Step 6. Start Hermes in the lab folder and ask it to summarise the fictional business brief without changing files.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7. Confirm the response cites the supplied brief, states uncertainty and makes no external action.</w:t>
      </w:r>
    </w:p>
    <w:p>
      <w:pPr>
        <w:keepNext/>
      </w:pPr>
      <w:r>
        <w:rPr>
          <w:b/>
        </w:rPr>
        <w:t>Step 8. Complete installation-verification.md and run the bundle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r>
        <w:rPr>
          <w:b/>
        </w:rPr>
        <w:t>Step 9. Exit the session. If a classroom credential was temporary, revoke it with the trainer.</w:t>
      </w:r>
    </w:p>
    <w:p>
      <w:pPr>
        <w:pStyle w:val="Heading1"/>
      </w:pPr>
      <w:r>
        <w:t>Acceptance test</w:t>
      </w:r>
    </w:p>
    <w:p>
      <w:r>
        <w:t>Hermes starts, diagnostics identify a configured provider, the first response uses only fictional evidence, and installation-verification.md is complete.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79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