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4: Demonstrate Memory Skills and Context Reuse</w:t>
      </w:r>
    </w:p>
    <w:p>
      <w:r>
        <w:t>Business Innovation with AI Agents · TGS-2020503395 · 40 minutes</w:t>
      </w:r>
    </w:p>
    <w:p>
      <w:pPr>
        <w:pStyle w:val="Heading1"/>
      </w:pPr>
      <w:r>
        <w:t>Objective</w:t>
      </w:r>
    </w:p>
    <w:p>
      <w:r>
        <w:t>Separate durable business memory from reusable procedural skills and verify both on a new fictional case.</w:t>
      </w:r>
    </w:p>
    <w:p>
      <w:pPr>
        <w:pStyle w:val="Heading1"/>
      </w:pPr>
      <w:r>
        <w:t>Deliverable</w:t>
      </w:r>
    </w:p>
    <w:p>
      <w:r>
        <w:t>A memory decision log, a review-ready campaign skill, a second-case test and a correction record.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Labs 2 and 3 completed.</w:t>
      </w:r>
    </w:p>
    <w:p>
      <w:pPr>
        <w:pStyle w:val="Heading1"/>
      </w:pPr>
      <w:r>
        <w:t>Procedure</w:t>
      </w:r>
    </w:p>
    <w:p>
      <w:r>
        <w:rPr>
          <w:b/>
        </w:rPr>
        <w:t>Step 1. Read memory-candidates.md. Classify each item as durable memory, task context, skill instruction or prohibited secret.</w:t>
      </w:r>
    </w:p>
    <w:p>
      <w:pPr>
        <w:keepNext/>
      </w:pPr>
      <w:r>
        <w:rPr>
          <w:b/>
        </w:rPr>
        <w:t>Step 2. Save only the approved durable fictional preferences using Hermes memory; never save the token-shaped marker.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memory,skills,file</w:t>
      </w:r>
    </w:p>
    <w:p>
      <w:r>
        <w:rPr>
          <w:b/>
        </w:rPr>
        <w:t>Step 3. Create or revise a local skill from skill-template.md for evidence-led campaign briefing.</w:t>
      </w:r>
    </w:p>
    <w:p>
      <w:r>
        <w:rPr>
          <w:b/>
        </w:rPr>
        <w:t>Step 4. Inspect the skill trigger, scope, method, verification and stop conditions.</w:t>
      </w:r>
    </w:p>
    <w:p>
      <w:pPr>
        <w:keepNext/>
      </w:pPr>
      <w:r>
        <w:rPr>
          <w:b/>
        </w:rPr>
        <w:t>Step 5. Start a fresh session with new-case.md and load the skill.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</w:t>
      </w:r>
    </w:p>
    <w:p>
      <w:r>
        <w:rPr>
          <w:b/>
        </w:rPr>
        <w:t>Step 6. Verify the new output uses durable preferences but does not copy transient facts from the first case.</w:t>
      </w:r>
    </w:p>
    <w:p>
      <w:r>
        <w:rPr>
          <w:b/>
        </w:rPr>
        <w:t>Step 7. Correct one fictional preference, rerun the test and record the before/after behaviour.</w:t>
      </w:r>
    </w:p>
    <w:p>
      <w:pPr>
        <w:keepNext/>
      </w:pPr>
      <w:r>
        <w:rPr>
          <w:b/>
        </w:rPr>
        <w:t>Step 8. Complete memory-decision-log.md and run the verifier.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pPr>
        <w:pStyle w:val="Heading1"/>
      </w:pPr>
      <w:r>
        <w:t>Acceptance test</w:t>
      </w:r>
    </w:p>
    <w:p>
      <w:r>
        <w:t>The second case demonstrates durable preference reuse, procedural skill reuse, correction and zero secret or transient-noise retention.</w:t>
      </w:r>
    </w:p>
    <w:p>
      <w:pPr>
        <w:pStyle w:val="Heading1"/>
      </w:pPr>
      <w:r>
        <w:t>Evidence checklist</w:t>
      </w:r>
    </w:p>
    <w:p>
      <w:r>
        <w:t>☐ Commands/configuration with secrets redacted</w:t>
      </w:r>
    </w:p>
    <w:p>
      <w:r>
        <w:t>☐ Screenshot or file evidence</w:t>
      </w:r>
    </w:p>
    <w:p>
      <w:r>
        <w:t>☐ Acceptance test result</w:t>
      </w:r>
    </w:p>
    <w:p>
      <w:r>
        <w:t>☐ Failure and resolution</w:t>
      </w:r>
    </w:p>
    <w:p>
      <w:r>
        <w:t>☐ Reflection and improvement</w:t>
      </w:r>
    </w:p>
    <w:p>
      <w:pPr>
        <w:pStyle w:val="Heading1"/>
      </w:pPr>
      <w:r>
        <w:t>Safety and cleanup</w:t>
      </w:r>
    </w:p>
    <w:p>
      <w:pPr>
        <w:pStyle w:val="ListBullet"/>
      </w:pPr>
      <w:r>
        <w:t>Use fictional data only.</w:t>
      </w:r>
    </w:p>
    <w:p>
      <w:pPr>
        <w:pStyle w:val="ListBullet"/>
      </w:pPr>
      <w:r>
        <w:t>Never submit .env, tokens, keys or personal information.</w:t>
      </w:r>
    </w:p>
    <w:p>
      <w:pPr>
        <w:pStyle w:val="ListBullet"/>
      </w:pPr>
      <w:r>
        <w:t>Stop classroom gateways and remove recurring jobs after evidence capture.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