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5: Orchestrate Specialist Subagents</w:t>
      </w:r>
    </w:p>
    <w:p>
      <w:r>
        <w:t>Business Innovation with AI Agents · TGS-2020503395 · 45 minutes</w:t>
      </w:r>
    </w:p>
    <w:p>
      <w:pPr>
        <w:pStyle w:val="Heading1"/>
      </w:pPr>
      <w:r>
        <w:t>Objective</w:t>
      </w:r>
    </w:p>
    <w:p>
      <w:r>
        <w:t>Split one campaign problem into isolated research, audience and risk tasks with structured evidence handoffs.</w:t>
      </w:r>
    </w:p>
    <w:p>
      <w:pPr>
        <w:pStyle w:val="Heading1"/>
      </w:pPr>
      <w:r>
        <w:t>Deliverable</w:t>
      </w:r>
    </w:p>
    <w:p>
      <w:r>
        <w:t>A task graph, three specialist handoffs, conflict-resolution note and human decision record.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4 skill and memory distinction.</w:t>
      </w:r>
    </w:p>
    <w:p>
      <w:pPr>
        <w:pStyle w:val="Heading1"/>
      </w:pPr>
      <w:r>
        <w:t>Procedure</w:t>
      </w:r>
    </w:p>
    <w:p>
      <w:r>
        <w:rPr>
          <w:b/>
        </w:rPr>
        <w:t>Step 1. Read campaign-brief.md and define three independent specialist outputs.</w:t>
      </w:r>
    </w:p>
    <w:p>
      <w:r>
        <w:rPr>
          <w:b/>
        </w:rPr>
        <w:t>Step 2. Complete task-graph.md with parents, dependencies, acceptance criteria and stop conditions.</w:t>
      </w:r>
    </w:p>
    <w:p>
      <w:pPr>
        <w:keepNext/>
      </w:pPr>
      <w:r>
        <w:rPr>
          <w:b/>
        </w:rPr>
        <w:t>Step 3. Use delegate_task in Hermes or the trainer demonstration to run research, audience and risk specialists in isolated contexts.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file,web,delegation</w:t>
      </w:r>
    </w:p>
    <w:p>
      <w:r>
        <w:rPr>
          <w:b/>
        </w:rPr>
        <w:t>Step 4. Require every specialist to return the handoff schema in handoff-template.md.</w:t>
      </w:r>
    </w:p>
    <w:p>
      <w:r>
        <w:rPr>
          <w:b/>
        </w:rPr>
        <w:t>Step 5. Do not give specialists publication, messaging or spending tools.</w:t>
      </w:r>
    </w:p>
    <w:p>
      <w:r>
        <w:rPr>
          <w:b/>
        </w:rPr>
        <w:t>Step 6. Compare handoffs. If claims conflict, keep both evidence trails and route them to the reviewer.</w:t>
      </w:r>
    </w:p>
    <w:p>
      <w:r>
        <w:rPr>
          <w:b/>
        </w:rPr>
        <w:t>Step 7. Synthesize only after all parent tasks are complete; record missing evidence as a blocker.</w:t>
      </w:r>
    </w:p>
    <w:p>
      <w:pPr>
        <w:keepNext/>
      </w:pPr>
      <w:r>
        <w:rPr>
          <w:b/>
        </w:rPr>
        <w:t>Step 8. Complete human-decision.md and run the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1"/>
      </w:pPr>
      <w:r>
        <w:t>Acceptance test</w:t>
      </w:r>
    </w:p>
    <w:p>
      <w:r>
        <w:t>Three role-bounded handoffs exist, conflicts remain visible, the synthesis waits for dependencies and the human decision record controls release.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