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8: Create a Governed Multi-Agent Video Campaign</w:t>
      </w:r>
    </w:p>
    <w:p>
      <w:r>
        <w:t>Business Innovation with AI Agents · TGS-2020503395 · 55 minutes</w:t>
      </w:r>
    </w:p>
    <w:p>
      <w:pPr>
        <w:pStyle w:val="Heading1"/>
      </w:pPr>
      <w:r>
        <w:t>Objective</w:t>
      </w:r>
    </w:p>
    <w:p>
      <w:r>
        <w:t>Produce a review-ready video campaign package with specialist agents, rights and consent controls, security tests and a human release gate.</w:t>
      </w:r>
    </w:p>
    <w:p>
      <w:pPr>
        <w:pStyle w:val="Heading1"/>
      </w:pPr>
      <w:r>
        <w:t>Deliverable</w:t>
      </w:r>
    </w:p>
    <w:p>
      <w:r>
        <w:t>A script, storyboard, asset and rights register, generation plan, QC report, security matrix and final human release decision.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A trainer-approved laptop and classroom workspace.</w:t>
      </w:r>
    </w:p>
    <w:p>
      <w:pPr>
        <w:pStyle w:val="ListBullet"/>
      </w:pPr>
      <w:r>
        <w:t>Use only fictional data supplied in this lab.</w:t>
      </w:r>
    </w:p>
    <w:p>
      <w:pPr>
        <w:pStyle w:val="ListBullet"/>
      </w:pPr>
      <w:r>
        <w:t>Do not paste API keys, customer data or personal information into evidence.</w:t>
      </w:r>
    </w:p>
    <w:p>
      <w:pPr>
        <w:pStyle w:val="ListBullet"/>
      </w:pPr>
      <w:r>
        <w:t>Lab 7 approved campaign evidence; trainer-approved media tools if generation is demonstrated.</w:t>
      </w:r>
    </w:p>
    <w:p>
      <w:pPr>
        <w:pStyle w:val="Heading1"/>
      </w:pPr>
      <w:r>
        <w:t>Procedure</w:t>
      </w:r>
    </w:p>
    <w:p>
      <w:r>
        <w:rPr>
          <w:b/>
        </w:rPr>
        <w:t>Step 1. Read approved-campaign-input.md. Confirm no real person, customer, copyrighted music or external publication destination is authorised.</w:t>
      </w:r>
    </w:p>
    <w:p>
      <w:pPr>
        <w:keepNext/>
      </w:pPr>
      <w:r>
        <w:rPr>
          <w:b/>
        </w:rPr>
        <w:t>Step 2. Delegate script, storyboard, asset, factual-review and accessibility tasks with isolated context packages.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chat --toolsets file,delegation,skills</w:t>
      </w:r>
    </w:p>
    <w:p>
      <w:r>
        <w:rPr>
          <w:b/>
        </w:rPr>
        <w:t>Step 3. Require the script agent to use only approved product claims and include a clear call to action without deceptive urgency.</w:t>
      </w:r>
    </w:p>
    <w:p>
      <w:r>
        <w:rPr>
          <w:b/>
        </w:rPr>
        <w:t>Step 4. Require the storyboard agent to define six scenes with framing, action, duration and continuity notes.</w:t>
      </w:r>
    </w:p>
    <w:p>
      <w:r>
        <w:rPr>
          <w:b/>
        </w:rPr>
        <w:t>Step 5. Complete asset-rights-register.csv for every generated or supplied asset, including prompt, owner, licence, consent and allowed use.</w:t>
      </w:r>
    </w:p>
    <w:p>
      <w:pPr>
        <w:keepNext/>
      </w:pPr>
      <w:r>
        <w:rPr>
          <w:b/>
        </w:rPr>
        <w:t>Step 6. If a trainer-approved video tool is available, create an internal low-resolution preview only. Otherwise complete generation-plan.md without calling an external service.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hermes chat --toolsets file,delegation,video_gen</w:t>
      </w:r>
    </w:p>
    <w:p>
      <w:r>
        <w:rPr>
          <w:b/>
        </w:rPr>
        <w:t>Step 7. Run factual, visual, audio, caption and brand QC; record failures and required revisions in qc-report.md.</w:t>
      </w:r>
    </w:p>
    <w:p>
      <w:r>
        <w:rPr>
          <w:b/>
        </w:rPr>
        <w:t>Step 8. Complete security-boundary-test-matrix.md with negative tests for unapproved data, external send, unsafe URL, secret-like marker and unauthorised likeness.</w:t>
      </w:r>
    </w:p>
    <w:p>
      <w:r>
        <w:rPr>
          <w:b/>
        </w:rPr>
        <w:t>Step 9. Apply the human release checklist. Keep the decision at revise unless every rights, consent, factual and accessibility item passes.</w:t>
      </w:r>
    </w:p>
    <w:p>
      <w:pPr>
        <w:keepNext/>
      </w:pPr>
      <w:r>
        <w:rPr>
          <w:b/>
        </w:rPr>
        <w:t>Step 10. Remove temporary media and credentials, run the verifier and retain only redacted evidence.</w:t>
      </w:r>
    </w:p>
    <w:p>
      <w:pPr>
        <w:spacing w:after="0"/>
      </w:pPr>
      <w:r>
        <w:rPr>
          <w:rFonts w:ascii="Consolas" w:hAnsi="Consolas"/>
          <w:color w:val="122B45"/>
          <w:sz w:val="18"/>
        </w:rPr>
        <w:t>python3 verify.py</w:t>
      </w:r>
    </w:p>
    <w:p>
      <w:r>
        <w:br w:type="page"/>
      </w:r>
    </w:p>
    <w:p>
      <w:pPr>
        <w:pStyle w:val="Heading1"/>
      </w:pPr>
      <w:r>
        <w:t>Acceptance test</w:t>
      </w:r>
    </w:p>
    <w:p>
      <w:r>
        <w:t>The production package is complete and traceable, no unapproved asset or claim is used, negative controls block unsafe actions, and only a named human can approve final release.</w:t>
      </w:r>
    </w:p>
    <w:p>
      <w:pPr>
        <w:pStyle w:val="Heading1"/>
      </w:pPr>
      <w:r>
        <w:t>Evidence checklist</w:t>
      </w:r>
    </w:p>
    <w:p>
      <w:r>
        <w:t>☐ Commands/configuration with secrets redacted</w:t>
      </w:r>
    </w:p>
    <w:p>
      <w:r>
        <w:t>☐ Screenshot or file evidence</w:t>
      </w:r>
    </w:p>
    <w:p>
      <w:r>
        <w:t>☐ Acceptance test result</w:t>
      </w:r>
    </w:p>
    <w:p>
      <w:r>
        <w:t>☐ Failure and resolution</w:t>
      </w:r>
    </w:p>
    <w:p>
      <w:r>
        <w:t>☐ Reflection and improvement</w:t>
      </w:r>
    </w:p>
    <w:p>
      <w:pPr>
        <w:pStyle w:val="Heading1"/>
      </w:pPr>
      <w:r>
        <w:t>Safety and cleanup</w:t>
      </w:r>
    </w:p>
    <w:p>
      <w:pPr>
        <w:pStyle w:val="ListBullet"/>
      </w:pPr>
      <w:r>
        <w:t>Use fictional data only.</w:t>
      </w:r>
    </w:p>
    <w:p>
      <w:pPr>
        <w:pStyle w:val="ListBullet"/>
      </w:pPr>
      <w:r>
        <w:t>Never submit .env, tokens, keys or personal information.</w:t>
      </w:r>
    </w:p>
    <w:p>
      <w:pPr>
        <w:pStyle w:val="ListBullet"/>
      </w:pPr>
      <w:r>
        <w:t>Stop classroom gateways and remove recurring jobs after evidence capture.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