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after="20"/>
        <w:jc w:val="center"/>
      </w:pPr>
      <w:r>
        <w:rPr>
          <w:b/>
          <w:i w:val="0"/>
          <w:color w:val="111827"/>
          <w:sz w:val="26"/>
        </w:rPr>
        <w:t>Tertiary Infotech Academy Pte Ltd</w:t>
      </w:r>
    </w:p>
    <w:p>
      <w:pPr>
        <w:spacing w:after="440"/>
        <w:jc w:val="center"/>
      </w:pPr>
      <w:r>
        <w:rPr>
          <w:b w:val="0"/>
          <w:i w:val="0"/>
          <w:color w:val="555B66"/>
          <w:sz w:val="20"/>
        </w:rPr>
        <w:t>UEN: 201200696W</w:t>
      </w:r>
    </w:p>
    <w:p>
      <w:pPr>
        <w:spacing w:after="120"/>
        <w:jc w:val="center"/>
      </w:pPr>
      <w:r>
        <w:rPr>
          <w:b/>
          <w:i w:val="0"/>
          <w:color w:val="1F6FEB"/>
          <w:sz w:val="52"/>
        </w:rPr>
        <w:t>ACTIVITY WORKSHEETS</w:t>
      </w:r>
    </w:p>
    <w:p>
      <w:pPr>
        <w:spacing w:after="120"/>
        <w:jc w:val="center"/>
      </w:pPr>
      <w:r>
        <w:rPr>
          <w:b w:val="0"/>
          <w:i w:val="0"/>
          <w:color w:val="555B66"/>
          <w:sz w:val="22"/>
        </w:rPr>
        <w:t>For</w:t>
      </w:r>
    </w:p>
    <w:p>
      <w:pPr>
        <w:spacing w:after="60"/>
        <w:jc w:val="center"/>
      </w:pPr>
      <w:r>
        <w:rPr>
          <w:b/>
          <w:i w:val="0"/>
          <w:color w:val="111827"/>
          <w:sz w:val="38"/>
        </w:rPr>
        <w:t>Effective Project Management for Small Projects</w:t>
      </w:r>
    </w:p>
    <w:p>
      <w:pPr>
        <w:spacing w:after="360"/>
        <w:jc w:val="center"/>
      </w:pPr>
      <w:r>
        <w:rPr>
          <w:b w:val="0"/>
          <w:i w:val="0"/>
          <w:color w:val="111827"/>
          <w:sz w:val="22"/>
        </w:rPr>
        <w:t>TGS Ref No: TGS-2020505545</w:t>
      </w:r>
    </w:p>
    <w:p>
      <w:pPr>
        <w:spacing w:after="120"/>
        <w:jc w:val="center"/>
      </w:pPr>
      <w:r>
        <w:rPr>
          <w:b w:val="0"/>
          <w:i w:val="0"/>
          <w:color w:val="555B66"/>
          <w:sz w:val="21"/>
        </w:rPr>
        <w:t>12 activities  ·  one running case study: HarbourFront Logistics</w:t>
      </w:r>
    </w:p>
    <w:p>
      <w:pPr>
        <w:spacing w:after="0"/>
        <w:jc w:val="center"/>
      </w:pPr>
      <w:r>
        <w:rPr>
          <w:b/>
          <w:i w:val="0"/>
          <w:color w:val="1F6FEB"/>
          <w:sz w:val="22"/>
        </w:rPr>
        <w:t>Version v19.0  ·  19 August 2026</w:t>
      </w:r>
    </w:p>
    <w:p>
      <w:r>
        <w:br w:type="page"/>
      </w:r>
    </w:p>
    <w:p>
      <w:pPr>
        <w:spacing w:after="0"/>
        <w:jc w:val="right"/>
      </w:pPr>
      <w:r>
        <w:drawing>
          <wp:inline xmlns:a="http://schemas.openxmlformats.org/drawingml/2006/main" xmlns:pic="http://schemas.openxmlformats.org/drawingml/2006/picture">
            <wp:extent cx="310896" cy="310896"/>
            <wp:docPr id="2" name="Picture 2"/>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1 WORKSHEET</w:t>
      </w:r>
    </w:p>
    <w:p>
      <w:pPr>
        <w:spacing w:after="60"/>
      </w:pPr>
      <w:r>
        <w:rPr>
          <w:b/>
          <w:i w:val="0"/>
          <w:color w:val="111827"/>
          <w:sz w:val="32"/>
        </w:rPr>
        <w:t>Screen and Select the HarbourHub Pilot</w:t>
      </w:r>
    </w:p>
    <w:p>
      <w:pPr>
        <w:spacing w:after="160"/>
      </w:pPr>
      <w:r>
        <w:rPr>
          <w:b w:val="0"/>
          <w:i w:val="0"/>
          <w:color w:val="555B66"/>
          <w:sz w:val="19"/>
        </w:rPr>
        <w:t>Effective Project Management for Small Projects  ·  TGS-2020505545  ·  Topic 1  ·  LO1  ·  35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Small Project Screening, Multi-Criteria Selection and Cost-Benefit Analysis</w:t>
            </w:r>
          </w:p>
        </w:tc>
        <w:tc>
          <w:tcPr>
            <w:tcW w:type="dxa" w:w="5112"/>
            <w:shd w:val="clear" w:color="auto" w:fill="F5F8FC"/>
          </w:tcPr>
          <w:p>
            <w:pPr>
              <w:spacing w:after="20"/>
            </w:pPr>
            <w:r/>
            <w:r>
              <w:rPr>
                <w:b/>
                <w:color w:val="1F6FEB"/>
                <w:sz w:val="16"/>
              </w:rPr>
              <w:t>ACTIVITY FOLDER</w:t>
            </w:r>
          </w:p>
          <w:p>
            <w:pPr>
              <w:spacing w:after="40"/>
            </w:pPr>
            <w:r>
              <w:rPr>
                <w:sz w:val="19"/>
              </w:rPr>
              <w:t>activities/activity-01-*/</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HarbourHub Fresh has three competing improvement ideas: click-and-collect, a loyalty app, and a warehouse automation study. Only one can be funded this quarter. The sponsor needs a transparent selection decision and evidence that the selected work fits the small-project profile.</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Small-project screen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Weighted criteria and rationale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Cost-benefit downside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Selected option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Rejected-option rationale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Gate recommendation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The selected option satisfies every small-project criterion, the weighted score reconciles, the financial downside is visible and the recommendation states a clear gate decision.</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3" name="Picture 3"/>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2 WORKSHEET</w:t>
      </w:r>
    </w:p>
    <w:p>
      <w:pPr>
        <w:spacing w:after="60"/>
      </w:pPr>
      <w:r>
        <w:rPr>
          <w:b/>
          <w:i w:val="0"/>
          <w:color w:val="111827"/>
          <w:sz w:val="32"/>
        </w:rPr>
        <w:t>Authorise the Pilot and Run the Kickoff Gate</w:t>
      </w:r>
    </w:p>
    <w:p>
      <w:pPr>
        <w:spacing w:after="160"/>
      </w:pPr>
      <w:r>
        <w:rPr>
          <w:b w:val="0"/>
          <w:i w:val="0"/>
          <w:color w:val="555B66"/>
          <w:sz w:val="19"/>
        </w:rPr>
        <w:t>Effective Project Management for Small Projects  ·  TGS-2020505545  ·  Topic 1  ·  LO1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Business Case on a Page and Project Charter</w:t>
            </w:r>
          </w:p>
        </w:tc>
        <w:tc>
          <w:tcPr>
            <w:tcW w:type="dxa" w:w="5112"/>
            <w:shd w:val="clear" w:color="auto" w:fill="F5F8FC"/>
          </w:tcPr>
          <w:p>
            <w:pPr>
              <w:spacing w:after="20"/>
            </w:pPr>
            <w:r/>
            <w:r>
              <w:rPr>
                <w:b/>
                <w:color w:val="1F6FEB"/>
                <w:sz w:val="16"/>
              </w:rPr>
              <w:t>ACTIVITY FOLDER</w:t>
            </w:r>
          </w:p>
          <w:p>
            <w:pPr>
              <w:spacing w:after="40"/>
            </w:pPr>
            <w:r>
              <w:rPr>
                <w:sz w:val="19"/>
              </w:rPr>
              <w:t>activities/activity-02-*/</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click-and-collect pilot has been selected, but Operations, Finance and the two vendors hold different assumptions about success, exclusions and decision authority. The sponsor will authorise delivery only after a concise gate review.</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Outcome and benefits owner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Scope and exclusions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Success criteria</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Decision tolerances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Authority and team</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Assumptions, constraints and dependencies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High-level risks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Gate decision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Kickoff actions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The charter names one accountable sponsor, measurable success, explicit exclusions, decision tolerances and an unambiguous authorisation decision within the small-project constraints.</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4" name="Picture 4"/>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3 WORKSHEET</w:t>
      </w:r>
    </w:p>
    <w:p>
      <w:pPr>
        <w:spacing w:after="60"/>
      </w:pPr>
      <w:r>
        <w:rPr>
          <w:b/>
          <w:i w:val="0"/>
          <w:color w:val="111827"/>
          <w:sz w:val="32"/>
        </w:rPr>
        <w:t>Discover Requirements and Map Acceptance Evidence</w:t>
      </w:r>
    </w:p>
    <w:p>
      <w:pPr>
        <w:spacing w:after="160"/>
      </w:pPr>
      <w:r>
        <w:rPr>
          <w:b w:val="0"/>
          <w:i w:val="0"/>
          <w:color w:val="555B66"/>
          <w:sz w:val="19"/>
        </w:rPr>
        <w:t>Effective Project Management for Small Projects  ·  TGS-2020505545  ·  Topic 2  ·  LO2  ·  35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Requirements Workshop, Stakeholder Register and Traceability Matrix</w:t>
            </w:r>
          </w:p>
        </w:tc>
        <w:tc>
          <w:tcPr>
            <w:tcW w:type="dxa" w:w="5112"/>
            <w:shd w:val="clear" w:color="auto" w:fill="F5F8FC"/>
          </w:tcPr>
          <w:p>
            <w:pPr>
              <w:spacing w:after="20"/>
            </w:pPr>
            <w:r/>
            <w:r>
              <w:rPr>
                <w:b/>
                <w:color w:val="1F6FEB"/>
                <w:sz w:val="16"/>
              </w:rPr>
              <w:t>ACTIVITY FOLDER</w:t>
            </w:r>
          </w:p>
          <w:p>
            <w:pPr>
              <w:spacing w:after="40"/>
            </w:pPr>
            <w:r>
              <w:rPr>
                <w:sz w:val="19"/>
              </w:rPr>
              <w:t>activities/activity-03-*/</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Outlet supervisors want speed, Finance wants payment control, customers want predictable collection, and the POS vendor wants a stable interface. The charter is approved, but the stated needs are not testable.</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Stakeholder sources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Workshop observations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Testable requirements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MoSCoW rationale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Acceptance evidence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Unresolved decisions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Traceability audit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Every prioritised requirement has a source, rationale, owner, deliverable and testable acceptance method; unresolved conflicts have named decision owners and dates.</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5" name="Picture 5"/>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4 WORKSHEET</w:t>
      </w:r>
    </w:p>
    <w:p>
      <w:pPr>
        <w:spacing w:after="60"/>
      </w:pPr>
      <w:r>
        <w:rPr>
          <w:b/>
          <w:i w:val="0"/>
          <w:color w:val="111827"/>
          <w:sz w:val="32"/>
        </w:rPr>
        <w:t>Build the Scope Baseline with WBS and Dictionary</w:t>
      </w:r>
    </w:p>
    <w:p>
      <w:pPr>
        <w:spacing w:after="160"/>
      </w:pPr>
      <w:r>
        <w:rPr>
          <w:b w:val="0"/>
          <w:i w:val="0"/>
          <w:color w:val="555B66"/>
          <w:sz w:val="19"/>
        </w:rPr>
        <w:t>Effective Project Management for Small Projects  ·  TGS-2020505545  ·  Topic 2  ·  LO2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Work Breakdown Structure, WBS Dictionary and Requirements Traceability Matrix</w:t>
            </w:r>
          </w:p>
        </w:tc>
        <w:tc>
          <w:tcPr>
            <w:tcW w:type="dxa" w:w="5112"/>
            <w:shd w:val="clear" w:color="auto" w:fill="F5F8FC"/>
          </w:tcPr>
          <w:p>
            <w:pPr>
              <w:spacing w:after="20"/>
            </w:pPr>
            <w:r/>
            <w:r>
              <w:rPr>
                <w:b/>
                <w:color w:val="1F6FEB"/>
                <w:sz w:val="16"/>
              </w:rPr>
              <w:t>ACTIVITY FOLDER</w:t>
            </w:r>
          </w:p>
          <w:p>
            <w:pPr>
              <w:spacing w:after="40"/>
            </w:pPr>
            <w:r>
              <w:rPr>
                <w:sz w:val="19"/>
              </w:rPr>
              <w:t>activities/activity-04-*/</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team has 14 prioritised requirements, but the vendor proposal groups work by department and omits outlet readiness, training and handover. Estimates cannot be trusted until the total scope is visible.</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Scope statement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WBS structure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100% rule check</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Work-package definitions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Acceptance criteria</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Requirement-to-WBS trace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Peer audit and repair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The WBS covers 100% of authorised work without overlap, each work package is manageable and every requirement traces to acceptance-ready scope.</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6" name="Picture 6"/>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5 WORKSHEET</w:t>
      </w:r>
    </w:p>
    <w:p>
      <w:pPr>
        <w:spacing w:after="60"/>
      </w:pPr>
      <w:r>
        <w:rPr>
          <w:b/>
          <w:i w:val="0"/>
          <w:color w:val="111827"/>
          <w:sz w:val="32"/>
        </w:rPr>
        <w:t>Develop the Integrated Schedule and Cost Baseline</w:t>
      </w:r>
    </w:p>
    <w:p>
      <w:pPr>
        <w:spacing w:after="160"/>
      </w:pPr>
      <w:r>
        <w:rPr>
          <w:b w:val="0"/>
          <w:i w:val="0"/>
          <w:color w:val="555B66"/>
          <w:sz w:val="19"/>
        </w:rPr>
        <w:t>Effective Project Management for Small Projects  ·  TGS-2020505545  ·  Topic 2  ·  LO2  ·  55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Network Diagram, Gantt Schedule and Budget versus Actual</w:t>
            </w:r>
          </w:p>
        </w:tc>
        <w:tc>
          <w:tcPr>
            <w:tcW w:type="dxa" w:w="5112"/>
            <w:shd w:val="clear" w:color="auto" w:fill="F5F8FC"/>
          </w:tcPr>
          <w:p>
            <w:pPr>
              <w:spacing w:after="20"/>
            </w:pPr>
            <w:r/>
            <w:r>
              <w:rPr>
                <w:b/>
                <w:color w:val="1F6FEB"/>
                <w:sz w:val="16"/>
              </w:rPr>
              <w:t>ACTIVITY FOLDER</w:t>
            </w:r>
          </w:p>
          <w:p>
            <w:pPr>
              <w:spacing w:after="40"/>
            </w:pPr>
            <w:r>
              <w:rPr>
                <w:sz w:val="19"/>
              </w:rPr>
              <w:t>activities/activity-05-*/</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launch must precede Lunar New Year trading. The vendor has proposed a date without dependency logic, resource calendars or reserves. Finance requires a time-phased baseline within S$180,000.</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Dependency logic</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Duration estimate basis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Forward/backward pass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Critical path and float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Gantt milestones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Cost estimate basis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Time-phased baseline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Reserve treatment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Integration check</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The dependency network calculates correctly, the plan fits the five-month limit, all authorised work is time-phased and funded, and baseline plus contingency stays within S$180,000.</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7" name="Picture 7"/>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6 WORKSHEET</w:t>
      </w:r>
    </w:p>
    <w:p>
      <w:pPr>
        <w:spacing w:after="60"/>
      </w:pPr>
      <w:r>
        <w:rPr>
          <w:b/>
          <w:i w:val="0"/>
          <w:color w:val="111827"/>
          <w:sz w:val="32"/>
        </w:rPr>
        <w:t>Tailor the Delivery Method and Quality Plan</w:t>
      </w:r>
    </w:p>
    <w:p>
      <w:pPr>
        <w:spacing w:after="160"/>
      </w:pPr>
      <w:r>
        <w:rPr>
          <w:b w:val="0"/>
          <w:i w:val="0"/>
          <w:color w:val="555B66"/>
          <w:sz w:val="19"/>
        </w:rPr>
        <w:t>Effective Project Management for Small Projects  ·  TGS-2020505545  ·  Topic 3  ·  LO3  ·  35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Delivery Approach Canvas, Quality Plan and Kanban Board</w:t>
            </w:r>
          </w:p>
        </w:tc>
        <w:tc>
          <w:tcPr>
            <w:tcW w:type="dxa" w:w="5112"/>
            <w:shd w:val="clear" w:color="auto" w:fill="F5F8FC"/>
          </w:tcPr>
          <w:p>
            <w:pPr>
              <w:spacing w:after="20"/>
            </w:pPr>
            <w:r/>
            <w:r>
              <w:rPr>
                <w:b/>
                <w:color w:val="1F6FEB"/>
                <w:sz w:val="16"/>
              </w:rPr>
              <w:t>ACTIVITY FOLDER</w:t>
            </w:r>
          </w:p>
          <w:p>
            <w:pPr>
              <w:spacing w:after="40"/>
            </w:pPr>
            <w:r>
              <w:rPr>
                <w:sz w:val="19"/>
              </w:rPr>
              <w:t>activities/activity-06-*/</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catalogue and POS interface need predictable milestone control, while the outlet workflow needs rapid testing and feedback. The team must choose a hybrid delivery rhythm and define quality before build begins.</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Uncertainty assessment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Approach choice by deliverable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Gate and iteration rhythm</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Definition of Done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Quality metrics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Sampling and control rule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Kanban policies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Source-of-truth rule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The approach matches uncertainty, quality is measurable before work begins, WIP and evidence rules are explicit, and predictive/adaptive controls do not contradict one another.</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8" name="Picture 8"/>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7 WORKSHEET</w:t>
      </w:r>
    </w:p>
    <w:p>
      <w:pPr>
        <w:spacing w:after="60"/>
      </w:pPr>
      <w:r>
        <w:rPr>
          <w:b/>
          <w:i w:val="0"/>
          <w:color w:val="111827"/>
          <w:sz w:val="32"/>
        </w:rPr>
        <w:t>Build the Risk Register and Fund Responses</w:t>
      </w:r>
    </w:p>
    <w:p>
      <w:pPr>
        <w:spacing w:after="160"/>
      </w:pPr>
      <w:r>
        <w:rPr>
          <w:b w:val="0"/>
          <w:i w:val="0"/>
          <w:color w:val="555B66"/>
          <w:sz w:val="19"/>
        </w:rPr>
        <w:t>Effective Project Management for Small Projects  ·  TGS-2020505545  ·  Topic 4  ·  LO4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Risk Matrix, Decision Tree and Tornado Analysis</w:t>
            </w:r>
          </w:p>
        </w:tc>
        <w:tc>
          <w:tcPr>
            <w:tcW w:type="dxa" w:w="5112"/>
            <w:shd w:val="clear" w:color="auto" w:fill="F5F8FC"/>
          </w:tcPr>
          <w:p>
            <w:pPr>
              <w:spacing w:after="20"/>
            </w:pPr>
            <w:r/>
            <w:r>
              <w:rPr>
                <w:b/>
                <w:color w:val="1F6FEB"/>
                <w:sz w:val="16"/>
              </w:rPr>
              <w:t>ACTIVITY FOLDER</w:t>
            </w:r>
          </w:p>
          <w:p>
            <w:pPr>
              <w:spacing w:after="40"/>
            </w:pPr>
            <w:r>
              <w:rPr>
                <w:sz w:val="19"/>
              </w:rPr>
              <w:t>activities/activity-07-*/</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POS interface may be late, refrigerated stock counts are unreliable, a key trainer has a short availability window and a faster payment option could improve adoption. Contingency reserve is S$18,000.</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Risk/issue/assumption classification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Cause-event-impact statements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Qualitative priority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Owners and triggers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Threat and opportunity responses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Contingency and fallback</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EMV decision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Sensitivity reading</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Reserve allocation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10.  </w:t>
      </w:r>
      <w:r>
        <w:rPr>
          <w:b/>
          <w:sz w:val="21"/>
        </w:rPr>
        <w:t>Residual and secondary risk</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Priority risks have owners, triggers and funded responses; the EMV and sensitivity logic reconcile; contingency is allocated to named uncertainty and residual risk remains visible.</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9" name="Picture 9"/>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8 WORKSHEET</w:t>
      </w:r>
    </w:p>
    <w:p>
      <w:pPr>
        <w:spacing w:after="60"/>
      </w:pPr>
      <w:r>
        <w:rPr>
          <w:b/>
          <w:i w:val="0"/>
          <w:color w:val="111827"/>
          <w:sz w:val="32"/>
        </w:rPr>
        <w:t>Align Stakeholders, Accountability and Communications</w:t>
      </w:r>
    </w:p>
    <w:p>
      <w:pPr>
        <w:spacing w:after="160"/>
      </w:pPr>
      <w:r>
        <w:rPr>
          <w:b w:val="0"/>
          <w:i w:val="0"/>
          <w:color w:val="555B66"/>
          <w:sz w:val="19"/>
        </w:rPr>
        <w:t>Effective Project Management for Small Projects  ·  TGS-2020505545  ·  Topic 5  ·  LO5  ·  40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Stakeholder Map, Salience Model, RACI and Engagement Assessment</w:t>
            </w:r>
          </w:p>
        </w:tc>
        <w:tc>
          <w:tcPr>
            <w:tcW w:type="dxa" w:w="5112"/>
            <w:shd w:val="clear" w:color="auto" w:fill="F5F8FC"/>
          </w:tcPr>
          <w:p>
            <w:pPr>
              <w:spacing w:after="20"/>
            </w:pPr>
            <w:r/>
            <w:r>
              <w:rPr>
                <w:b/>
                <w:color w:val="1F6FEB"/>
                <w:sz w:val="16"/>
              </w:rPr>
              <w:t>ACTIVITY FOLDER</w:t>
            </w:r>
          </w:p>
          <w:p>
            <w:pPr>
              <w:spacing w:after="40"/>
            </w:pPr>
            <w:r>
              <w:rPr>
                <w:sz w:val="19"/>
              </w:rPr>
              <w:t>activities/activity-08-*/</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POS vendor and Operations each believe the other owns interface acceptance. Finance has not approved a payment milestone, store managers receive conflicting instructions and one influential supervisor resists the pilot.</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Stakeholder inventory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Impact-influence evidence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Salience comparison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RACI diagnostic</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Engagement gaps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Communication and feedback plan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Escalation brief</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Critical decisions have one Accountable owner, material engagement gaps have two-way actions and the escalation asks the authorised person for a clear, time-bound decision.</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10" name="Picture 10"/>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9 WORKSHEET</w:t>
      </w:r>
    </w:p>
    <w:p>
      <w:pPr>
        <w:spacing w:after="60"/>
      </w:pPr>
      <w:r>
        <w:rPr>
          <w:b/>
          <w:i w:val="0"/>
          <w:color w:val="111827"/>
          <w:sz w:val="32"/>
        </w:rPr>
        <w:t>Deploy Resources and Resolve the Bottleneck</w:t>
      </w:r>
    </w:p>
    <w:p>
      <w:pPr>
        <w:spacing w:after="160"/>
      </w:pPr>
      <w:r>
        <w:rPr>
          <w:b w:val="0"/>
          <w:i w:val="0"/>
          <w:color w:val="555B66"/>
          <w:sz w:val="19"/>
        </w:rPr>
        <w:t>Effective Project Management for Small Projects  ·  TGS-2020505545  ·  Topic 6  ·  LO6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Organisation Chart, Resource Capacity, Procurement Decision, Kanban and Budget</w:t>
            </w:r>
          </w:p>
        </w:tc>
        <w:tc>
          <w:tcPr>
            <w:tcW w:type="dxa" w:w="5112"/>
            <w:shd w:val="clear" w:color="auto" w:fill="F5F8FC"/>
          </w:tcPr>
          <w:p>
            <w:pPr>
              <w:spacing w:after="20"/>
            </w:pPr>
            <w:r/>
            <w:r>
              <w:rPr>
                <w:b/>
                <w:color w:val="1F6FEB"/>
                <w:sz w:val="16"/>
              </w:rPr>
              <w:t>ACTIVITY FOLDER</w:t>
            </w:r>
          </w:p>
          <w:p>
            <w:pPr>
              <w:spacing w:after="40"/>
            </w:pPr>
            <w:r>
              <w:rPr>
                <w:sz w:val="19"/>
              </w:rPr>
              <w:t>activities/activity-09-*/</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Testing needs 22 person-days in two weeks, but only 16 are available. The business analyst is assigned to testing, training and vendor clarification. The sponsor wants evidence before accepting delay or extra cost.</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Organisation and authority map</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Skill-capacity table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Demand-capacity gap</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Constraint and WIP rule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Optimisation options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Make/buy analysis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Budget impact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Sponsor recommendation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Capacity reconciles to named work and skills, the bottleneck is explicit, procurement/compression options show complete trade-offs and the chosen deployment remains within authorised constraints.</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11" name="Picture 1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10 WORKSHEET</w:t>
      </w:r>
    </w:p>
    <w:p>
      <w:pPr>
        <w:spacing w:after="60"/>
      </w:pPr>
      <w:r>
        <w:rPr>
          <w:b/>
          <w:i w:val="0"/>
          <w:color w:val="111827"/>
          <w:sz w:val="32"/>
        </w:rPr>
        <w:t>Diagnose the Pilot Quality Failure</w:t>
      </w:r>
    </w:p>
    <w:p>
      <w:pPr>
        <w:spacing w:after="160"/>
      </w:pPr>
      <w:r>
        <w:rPr>
          <w:b w:val="0"/>
          <w:i w:val="0"/>
          <w:color w:val="555B66"/>
          <w:sz w:val="19"/>
        </w:rPr>
        <w:t>Effective Project Management for Small Projects  ·  TGS-2020505545  ·  Topic 3  ·  LO3  ·  40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Check Sheet, Fishbone, Five Whys, Pareto and Control Chart</w:t>
            </w:r>
          </w:p>
        </w:tc>
        <w:tc>
          <w:tcPr>
            <w:tcW w:type="dxa" w:w="5112"/>
            <w:shd w:val="clear" w:color="auto" w:fill="F5F8FC"/>
          </w:tcPr>
          <w:p>
            <w:pPr>
              <w:spacing w:after="20"/>
            </w:pPr>
            <w:r/>
            <w:r>
              <w:rPr>
                <w:b/>
                <w:color w:val="1F6FEB"/>
                <w:sz w:val="16"/>
              </w:rPr>
              <w:t>ACTIVITY FOLDER</w:t>
            </w:r>
          </w:p>
          <w:p>
            <w:pPr>
              <w:spacing w:after="40"/>
            </w:pPr>
            <w:r>
              <w:rPr>
                <w:sz w:val="19"/>
              </w:rPr>
              <w:t>activities/activity-10-*/</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During testing, only 82% of orders are ready on time and pick accuracy is 94%. The vendor blames store staff; store staff blame inventory updates. The sponsor wants action before facts and hypotheses are separated.</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Reconciled check sheet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Fishbone facts and hypotheses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Five-whys causal chain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Backwards causal check</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Pareto vital few</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Control-chart interpretation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Corrective experiment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Data totals reconcile, Pareto reaches 100%, the causal chain is actionable, the control interpretation matches the signal and the experiment has an owner and verification date.</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12" name="Picture 12"/>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11 WORKSHEET</w:t>
      </w:r>
    </w:p>
    <w:p>
      <w:pPr>
        <w:spacing w:after="60"/>
      </w:pPr>
      <w:r>
        <w:rPr>
          <w:b/>
          <w:i w:val="0"/>
          <w:color w:val="111827"/>
          <w:sz w:val="32"/>
        </w:rPr>
        <w:t>Control Performance, Issues and Change</w:t>
      </w:r>
    </w:p>
    <w:p>
      <w:pPr>
        <w:spacing w:after="160"/>
      </w:pPr>
      <w:r>
        <w:rPr>
          <w:b w:val="0"/>
          <w:i w:val="0"/>
          <w:color w:val="555B66"/>
          <w:sz w:val="19"/>
        </w:rPr>
        <w:t>Effective Project Management for Small Projects  ·  TGS-2020505545  ·  Topic 7  ·  LO7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Integrated Status, Change and Issue Log, Burndown, Budget and Control Chart</w:t>
            </w:r>
          </w:p>
        </w:tc>
        <w:tc>
          <w:tcPr>
            <w:tcW w:type="dxa" w:w="5112"/>
            <w:shd w:val="clear" w:color="auto" w:fill="F5F8FC"/>
          </w:tcPr>
          <w:p>
            <w:pPr>
              <w:spacing w:after="20"/>
            </w:pPr>
            <w:r/>
            <w:r>
              <w:rPr>
                <w:b/>
                <w:color w:val="1F6FEB"/>
                <w:sz w:val="16"/>
              </w:rPr>
              <w:t>ACTIVITY FOLDER</w:t>
            </w:r>
          </w:p>
          <w:p>
            <w:pPr>
              <w:spacing w:after="40"/>
            </w:pPr>
            <w:r>
              <w:rPr>
                <w:sz w:val="19"/>
              </w:rPr>
              <w:t>activities/activity-11-*/</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At week 12, PV is S$108,000, EV is S$90,000 and AC is S$105,000. The sponsor requests loyalty points for S$24,000 and three weeks while a vendor interface issue threatens acceptance.</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Integrated status date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PV EV AC and forecast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Issue containment and resolution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Change impact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Authorised decision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Updated records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Corrective/preventive action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Verification rule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EVM and forecast reconcile, issue and change records are distinct, the decision is authorised, all affected records are updated and corrective action is measurable.</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13" name="Picture 13"/>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12 WORKSHEET</w:t>
      </w:r>
    </w:p>
    <w:p>
      <w:pPr>
        <w:spacing w:after="60"/>
      </w:pPr>
      <w:r>
        <w:rPr>
          <w:b/>
          <w:i w:val="0"/>
          <w:color w:val="111827"/>
          <w:sz w:val="32"/>
        </w:rPr>
        <w:t>Accept, Handover and Close the Project</w:t>
      </w:r>
    </w:p>
    <w:p>
      <w:pPr>
        <w:spacing w:after="160"/>
      </w:pPr>
      <w:r>
        <w:rPr>
          <w:b w:val="0"/>
          <w:i w:val="0"/>
          <w:color w:val="555B66"/>
          <w:sz w:val="19"/>
        </w:rPr>
        <w:t>Effective Project Management for Small Projects  ·  TGS-2020505545  ·  Topic 7  ·  LO7  ·  35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Acceptance, Handover, Closure and Benefits Tracker plus Retrospective</w:t>
            </w:r>
          </w:p>
        </w:tc>
        <w:tc>
          <w:tcPr>
            <w:tcW w:type="dxa" w:w="5112"/>
            <w:shd w:val="clear" w:color="auto" w:fill="F5F8FC"/>
          </w:tcPr>
          <w:p>
            <w:pPr>
              <w:spacing w:after="20"/>
            </w:pPr>
            <w:r/>
            <w:r>
              <w:rPr>
                <w:b/>
                <w:color w:val="1F6FEB"/>
                <w:sz w:val="16"/>
              </w:rPr>
              <w:t>ACTIVITY FOLDER</w:t>
            </w:r>
          </w:p>
          <w:p>
            <w:pPr>
              <w:spacing w:after="40"/>
            </w:pPr>
            <w:r>
              <w:rPr>
                <w:sz w:val="19"/>
              </w:rPr>
              <w:t>activities/activity-12-*/</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All three outlets are live, but final payment is requested before complete acceptance evidence, support ownership, training records and unresolved-item decisions are consolidated. Benefits will continue after project closure.</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Acceptance trace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Handover ownership</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Training and knowledge transfer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Open-item disposition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Contract closeout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Lessons and owners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Benefits measures and dates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Closure decision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Acceptance is traceable, handover ownership is explicit, open items have formal disposition, contracts and records reconcile, and benefits continue under named operational owners.</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