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2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Authorise the Pilot and Run the Kickoff Gate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1  ·  LO1  ·  45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Business Case on a Page and Project Charter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activities/activity-02-*/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The click-and-collect pilot has been selected, but Operations, Finance and the two vendors hold different assumptions about success, exclusions and decision authority. The sponsor will authorise delivery only after a concise gate review.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Outcome and benefits owner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Scope and exclusions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Success criteria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Decision tolerances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Authority and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Assumptions, constraints and dependencies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High-level risks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Gate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Kickoff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charter names one accountable sponsor, measurable success, explicit exclusions, decision tolerances and an unambiguous authorisation decision within the small-project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