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5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Develop the Integrated Schedule and Cost Baseline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2  ·  LO2  ·  55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Network Diagram, Gantt Schedule and Budget versus Actual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activities/activity-05-*/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launch must precede Lunar New Year trading. The vendor has proposed a date without dependency logic, resource calendars or reserves. Finance requires a time-phased baseline within S$180,000.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Dependency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Duration estimate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Forward/backward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Critical path and float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Gantt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Cost estimate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Time-phased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Reserve treatment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Integration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dependency network calculates correctly, the plan fits the five-month limit, all authorised work is time-phased and funded, and baseline plus contingency stays within S$180,000.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