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7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Build the Risk Register and Fund Responses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Effective Project Management for Small Projects  ·  TGS-2020505545  ·  Topic 4  ·  LO4  ·  45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Risk Matrix, Decision Tree and Tornado Analysis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activities/activity-07-*/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The POS interface may be late, refrigerated stock counts are unreliable, a key trainer has a short availability window and a faster payment option could improve adoption. Contingency reserve is S$18,000.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Risk/issue/assumption classification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Cause-event-impact statements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Qualitative priority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Owners and triggers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Threat and opportunity responses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Contingency and fallback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EMV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8.  </w:t>
      </w:r>
      <w:r>
        <w:rPr>
          <w:b/>
          <w:sz w:val="21"/>
        </w:rPr>
        <w:t>Sensitivity reading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9.  </w:t>
      </w:r>
      <w:r>
        <w:rPr>
          <w:b/>
          <w:sz w:val="21"/>
        </w:rPr>
        <w:t>Reserve allocation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10.  </w:t>
      </w:r>
      <w:r>
        <w:rPr>
          <w:b/>
          <w:sz w:val="21"/>
        </w:rPr>
        <w:t>Residual and secondary risk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Priority risks have owners, triggers and funded responses; the EMV and sensitivity logic reconcile; contingency is allocated to named uncertainty and residual risk remains visible.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All calculations reconcile to the supplied data and approved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recommendation and trade-off.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Completed editable tools or exports are saved in this folder.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