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drawing>
          <wp:inline xmlns:a="http://schemas.openxmlformats.org/drawingml/2006/main" xmlns:pic="http://schemas.openxmlformats.org/drawingml/2006/picture">
            <wp:extent cx="310896" cy="3108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" cy="310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  <w:color w:val="10B981"/>
          <w:sz w:val="22"/>
        </w:rPr>
        <w:t>ACTIVITY 8 WORKSHEET</w:t>
      </w:r>
    </w:p>
    <w:p>
      <w:pPr>
        <w:spacing w:after="60"/>
      </w:pPr>
      <w:r>
        <w:rPr>
          <w:b/>
          <w:i w:val="0"/>
          <w:color w:val="111827"/>
          <w:sz w:val="32"/>
        </w:rPr>
        <w:t>Align Stakeholders, Accountability and Communications</w:t>
      </w:r>
    </w:p>
    <w:p>
      <w:pPr>
        <w:spacing w:after="160"/>
      </w:pPr>
      <w:r>
        <w:rPr>
          <w:b w:val="0"/>
          <w:i w:val="0"/>
          <w:color w:val="555B66"/>
          <w:sz w:val="19"/>
        </w:rPr>
        <w:t>Effective Project Management for Small Projects  ·  TGS-2020505545  ·  Topic 5  ·  LO5  ·  40 minutes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TEAM MEMBERS</w:t>
            </w:r>
          </w:p>
          <w:p>
            <w:pPr>
              <w:spacing w:after="40"/>
            </w:pPr>
            <w:r>
              <w:rPr>
                <w:color w:val="AAAAAA"/>
                <w:sz w:val="20"/>
              </w:rPr>
              <w:t>____________________________________</w:t>
            </w:r>
          </w:p>
        </w:tc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DATE</w:t>
            </w:r>
          </w:p>
          <w:p>
            <w:pPr>
              <w:spacing w:after="40"/>
            </w:pPr>
            <w:r>
              <w:rPr>
                <w:color w:val="AAAAAA"/>
                <w:sz w:val="20"/>
              </w:rPr>
              <w:t>____________________________________</w:t>
            </w:r>
          </w:p>
        </w:tc>
      </w:tr>
      <w:tr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TOOL</w:t>
            </w:r>
          </w:p>
          <w:p>
            <w:pPr>
              <w:spacing w:after="40"/>
            </w:pPr>
            <w:r>
              <w:rPr>
                <w:sz w:val="19"/>
              </w:rPr>
              <w:t>Stakeholder Map, Salience Model, RACI and Engagement Assessment</w:t>
            </w:r>
          </w:p>
        </w:tc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ACTIVITY FOLDER</w:t>
            </w:r>
          </w:p>
          <w:p>
            <w:pPr>
              <w:spacing w:after="40"/>
            </w:pPr>
            <w:r>
              <w:rPr>
                <w:sz w:val="19"/>
              </w:rPr>
              <w:t>activities/activity-08-*/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5F8FC"/>
          </w:tcPr>
          <w:p>
            <w:pPr>
              <w:spacing w:after="40"/>
            </w:pPr>
            <w:r/>
            <w:r>
              <w:rPr>
                <w:b/>
                <w:color w:val="7C3AED"/>
                <w:sz w:val="17"/>
              </w:rPr>
              <w:t>THE SITUATION</w:t>
            </w:r>
          </w:p>
          <w:p>
            <w:pPr>
              <w:spacing w:after="40"/>
            </w:pPr>
            <w:r>
              <w:rPr>
                <w:sz w:val="18"/>
              </w:rPr>
              <w:t>The POS vendor and Operations each believe the other owns interface acceptance. Finance has not approved a payment milestone, store managers receive conflicting instructions and one influential supervisor resists the pilot.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i w:val="0"/>
          <w:color w:val="1F6FEB"/>
          <w:sz w:val="21"/>
        </w:rPr>
        <w:t>Record your team's output below.</w:t>
      </w:r>
    </w:p>
    <w:p>
      <w:pPr>
        <w:spacing w:after="60" w:before="120"/>
      </w:pPr>
      <w:r>
        <w:rPr>
          <w:b/>
          <w:color w:val="1F6FEB"/>
          <w:sz w:val="21"/>
        </w:rPr>
        <w:t xml:space="preserve">1.  </w:t>
      </w:r>
      <w:r>
        <w:rPr>
          <w:b/>
          <w:sz w:val="21"/>
        </w:rPr>
        <w:t>Stakeholder inventory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2.  </w:t>
      </w:r>
      <w:r>
        <w:rPr>
          <w:b/>
          <w:sz w:val="21"/>
        </w:rPr>
        <w:t>Impact-influence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3.  </w:t>
      </w:r>
      <w:r>
        <w:rPr>
          <w:b/>
          <w:sz w:val="21"/>
        </w:rPr>
        <w:t>Salience comparison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4.  </w:t>
      </w:r>
      <w:r>
        <w:rPr>
          <w:b/>
          <w:sz w:val="21"/>
        </w:rPr>
        <w:t>RACI diagnostic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5.  </w:t>
      </w:r>
      <w:r>
        <w:rPr>
          <w:b/>
          <w:sz w:val="21"/>
        </w:rPr>
        <w:t>Engagement gaps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6.  </w:t>
      </w:r>
      <w:r>
        <w:rPr>
          <w:b/>
          <w:sz w:val="21"/>
        </w:rPr>
        <w:t>Communication and feedback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7.  </w:t>
      </w:r>
      <w:r>
        <w:rPr>
          <w:b/>
          <w:sz w:val="21"/>
        </w:rPr>
        <w:t>Escalation brief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100"/>
      </w:pPr>
      <w:r>
        <w:rPr>
          <w:b/>
          <w:i w:val="0"/>
          <w:color w:val="10B981"/>
          <w:sz w:val="20"/>
        </w:rPr>
        <w:t>SELF-CHECK BEFORE YOU FINISH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Critical decisions have one Accountable owner, material engagement gaps have two-way actions and the escalation asks the authorised person for a clear, time-bound decision.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All calculations reconcile to the supplied data and approved constraints.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Every team member can explain the recommendation and trade-off.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Completed editable tools or exports are saved in this folder.</w:t>
      </w:r>
    </w:p>
    <w:sectPr w:rsidR="00FC693F" w:rsidRPr="0006063C" w:rsidSect="00034616"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