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11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Control Performance, Issues and Change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Effective Project Management for Small Projects  ·  TGS-2020505545  ·  Topic 7  ·  LO7  ·  45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Integrated Status, Change and Issue Log, Burndown, Budget and Control Chart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activities/activity-11-*/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At week 12, PV is S$108,000, EV is S$90,000 and AC is S$105,000. The sponsor requests loyalty points for S$24,000 and three weeks while a vendor interface issue threatens acceptance.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Integrated status date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PV EV AC and forecast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Issue containment and resolution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Change impact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Authorised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Updated records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Corrective/preventive action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8.  </w:t>
      </w:r>
      <w:r>
        <w:rPr>
          <w:b/>
          <w:sz w:val="21"/>
        </w:rPr>
        <w:t>Verification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EVM and forecast reconcile, issue and change records are distinct, the decision is authorised, all affected records are updated and corrective action is measurable.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All calculations reconcile to the supplied data and approved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recommendation and trade-off.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Completed editable tools or exports are saved in this folder.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