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Effective Project Management for Small Projects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TGS-2020505545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19.0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master trainer slide release used as the controlling syllabus.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Complete visual and instructional redesign; content enriched from the Agile and PMP references; seven connected tool-based activities and self-contained editable template packs added; LG and LP regenerated.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to the complete five-phase lifecycle and 200 substantive trainer slides; twelve connected tool-based activities, six new lifecycle workbooks, deeper reference-sourced guidance and an aspect-correct cover hero added; LG and LP regenerated.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 and TSC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Delivery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Assessment Strategy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Detailed 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idea to an integrated, risk-aware baseline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From stakeholder alignment to controlled delivery and closure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Topic and Activity Facilitation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Initiation of a Project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Develop a Project Plan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Apply Methods and Tools to Drive a Project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Manage Project Risk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 — Collaborate with Stakeholders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06 — Deploy Resources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07 — Track Project Deliverables and Correct Misalignments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Trainer Delivery Notes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7.1 Timing Discipline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7.2 Evidence and Debrief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7.3 Common Misconceptions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7.4 Contingency</w:t>
        <w:tab/>
        <w:t>12</w:t>
      </w:r>
    </w:p>
    <w:p>
      <w:pPr/>
      <w:r>
        <w:br w:type="page"/>
      </w:r>
    </w:p>
    <w:p>
      <w:pPr>
        <w:pStyle w:val="Heading1"/>
      </w:pPr>
      <w:r>
        <w:t>1. 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32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Effective Project Management for Small Projects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Course Reference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TGS-2020505545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TSC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Project Management · ICT-PMT-3026-1.1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Training Provider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2 days · 16 training hours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Daily Timing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9:30 am–6:30 pm; 1-hour lunch excluded; short breaks taken within training time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Mode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Instructor-led, case-based and tool-based group practice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Trainer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Dr Alfred Ang</w:t>
            </w:r>
          </w:p>
        </w:tc>
      </w:tr>
    </w:tbl>
    <w:p>
      <w:pPr>
        <w:pStyle w:val="Heading1"/>
      </w:pPr>
      <w:r>
        <w:t>2. Learning Outcomes and TSC Alignment</w:t>
      </w:r>
    </w:p>
    <w:p>
      <w:pPr>
        <w:pStyle w:val="ListBullet"/>
      </w:pPr>
      <w:r>
        <w:t>LO1: Develop project scope and team to initiate the facilitation of a small project</w:t>
      </w:r>
    </w:p>
    <w:p>
      <w:pPr>
        <w:pStyle w:val="ListBullet"/>
      </w:pPr>
      <w:r>
        <w:t>LO2: Develop a realistic project plan based on the agreed project scope</w:t>
      </w:r>
    </w:p>
    <w:p>
      <w:pPr>
        <w:pStyle w:val="ListBullet"/>
      </w:pPr>
      <w:r>
        <w:t>LO3: Utilise appropriate methods and tools to track and drive a project</w:t>
      </w:r>
    </w:p>
    <w:p>
      <w:pPr>
        <w:pStyle w:val="ListBullet"/>
      </w:pPr>
      <w:r>
        <w:t>LO4: Identify, analyse and manage project risks</w:t>
      </w:r>
    </w:p>
    <w:p>
      <w:pPr>
        <w:pStyle w:val="ListBullet"/>
      </w:pPr>
      <w:r>
        <w:t>LO5: Collaborate effectively with project stakeholders</w:t>
      </w:r>
    </w:p>
    <w:p>
      <w:pPr>
        <w:pStyle w:val="ListBullet"/>
      </w:pPr>
      <w:r>
        <w:t>LO6: Deploy manpower, budget and other resources for efficient completion</w:t>
      </w:r>
    </w:p>
    <w:p>
      <w:pPr>
        <w:pStyle w:val="ListBullet"/>
      </w:pPr>
      <w:r>
        <w:t>LO7: Track project deliverables and correct misalignments through control and closeout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36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6696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Ability / Knowledge</w:t>
            </w:r>
          </w:p>
        </w:tc>
        <w:tc>
          <w:tcPr>
            <w:tcW w:type="dxa" w:w="2160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Delivery evidence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Facilitate execution of small projects that are typically less than six months, with limited budget and interdependencies, and no significant strategic impact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1 · Activities 1–2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Implement realistic project plans based on project objectives and scope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2 · Activities 3–5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Utilise appropriate methods and tools to track and drive progress against plans and timelines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3 · Activities 6 and 10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Identify risks to project success and take appropriate actions to manage them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4 · Activity 7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Collaborate effectively with relevant internal and external stakeholders directly impacting the project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5 · Activity 8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Deploy manpower, financial budgets and relevant resources for efficient and effective completion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6 · Activity 9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Track deliverables against schedules, monitor costs, timescales and resources, and take basic corrective actions when misaligned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7 · Activities 11–12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K1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Elements of a small project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1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K2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Requirements of a project plan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2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K3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Application of appropriate project management methodologies and tools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3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K4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Project risks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4</w:t>
            </w:r>
          </w:p>
        </w:tc>
      </w:tr>
      <w:tr>
        <w:tc>
          <w:tcPr>
            <w:tcW w:type="dxa" w:w="936"/>
          </w:tcPr>
          <w:p>
            <w:r>
              <w:rPr>
                <w:sz w:val="17"/>
              </w:rPr>
              <w:t>K5</w:t>
            </w:r>
          </w:p>
        </w:tc>
        <w:tc>
          <w:tcPr>
            <w:tcW w:type="dxa" w:w="6696"/>
          </w:tcPr>
          <w:p>
            <w:r>
              <w:rPr>
                <w:sz w:val="17"/>
              </w:rPr>
              <w:t>Project stakeholder identification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Topic 5</w:t>
            </w:r>
          </w:p>
        </w:tc>
      </w:tr>
    </w:tbl>
    <w:p>
      <w:pPr>
        <w:pStyle w:val="Heading1"/>
      </w:pPr>
      <w:r>
        <w:t>3. Delivery Strategy</w:t>
      </w:r>
    </w:p>
    <w:p>
      <w:pPr>
        <w:pStyle w:val="ListBullet"/>
      </w:pPr>
      <w:r>
        <w:t>The v17 seven-topic syllabus is retained as the controlling sequence.</w:t>
      </w:r>
    </w:p>
    <w:p>
      <w:pPr>
        <w:pStyle w:val="ListBullet"/>
      </w:pPr>
      <w:r>
        <w:t>The complete lifecycle is explicit: initiation, planning, execution, monitoring and controlling, and closure.</w:t>
      </w:r>
    </w:p>
    <w:p>
      <w:pPr>
        <w:pStyle w:val="ListBullet"/>
      </w:pPr>
      <w:r>
        <w:t>The Agile and PMP references enrich adaptive/predictive selection, value delivery, estimating, governance, stakeholder engagement, quality, risk, earned value, change control and closure.</w:t>
      </w:r>
    </w:p>
    <w:p>
      <w:pPr>
        <w:pStyle w:val="ListBullet"/>
      </w:pPr>
      <w:r>
        <w:t>One Singapore SME case runs through all twelve activities. Learners leave with a connected project evidence trail rather than unrelated exercises.</w:t>
      </w:r>
    </w:p>
    <w:p>
      <w:pPr>
        <w:pStyle w:val="ListBullet"/>
      </w:pPr>
      <w:r>
        <w:t>The PowerPoint remains concept-led. Detailed procedures, evidence fields and acceptance criteria are in the Learner Guide and activity folders.</w:t>
      </w:r>
    </w:p>
    <w:p>
      <w:pPr>
        <w:pStyle w:val="ListBullet"/>
      </w:pPr>
      <w:r>
        <w:t>Activities use editable Office templates from the v17 source deck plus six purpose-built v19 lifecycle workbooks derived from the supplied reference guidance.</w:t>
      </w:r>
    </w:p>
    <w:p>
      <w:pPr>
        <w:pStyle w:val="Heading1"/>
      </w:pPr>
      <w:r>
        <w:t>4. Assessment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632"/>
            <w:shd w:val="clear" w:color="auto" w:fill="1655D1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Written Assessment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Written Assessment (Case Study) — apply project management judgement to a small-project scenario.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Oral Questioning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Oral Questioning — explain and justify decisions against the course methods and evidence.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Conditions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Open book: course slides, Learner Guide and approved course materials only.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Competency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A minimum of 75% attendance and a Competent result are required for funding eligibility.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Evidence expectation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Method, scenario evidence, calculation or artefact, trade-off, recommendation and next action.</w:t>
            </w:r>
          </w:p>
        </w:tc>
      </w:tr>
    </w:tbl>
    <w:p>
      <w:pPr>
        <w:pStyle w:val="Heading1"/>
      </w:pPr>
      <w:r>
        <w:t>5. Detailed Course Schedule</w:t>
      </w:r>
    </w:p>
    <w:p>
      <w:pPr>
        <w:pStyle w:val="Heading2"/>
      </w:pPr>
      <w:r>
        <w:t>Day 1 — From idea to an integrated, risk-aware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9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122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Learning and Facilitation Activity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09:30–09:50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Welcome, course overview, ground rules and mandatory AM digital attendance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09:50–10:20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Lifecycle and Topic 1 — selection, value, governance, charter and kickoff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10:20–10:55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1 — Screen and Select the HarbourHub Pilot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10:55–11:40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2 — Authorise the Pilot and Run the Kickoff Gate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11:40–12:05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2 — requirements, traceability, scope statement and WBS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12:05–12:40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3 — Discover Requirements and Map Acceptance Evidence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12:40–13:00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WBS decomposition, 100% rule and work-package definition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13:00–14:00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Lunch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Lunch break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14:00–14:45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4 — Build the Scope Baseline with WBS and Dictionary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14:45–15:40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5 — Develop the Integrated Schedule and Cost Baseline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15:40–16:05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3 — delivery-method tailoring, quality planning, flow and evidence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16:05–16:40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6 — Tailor the Delivery Method and Quality Plan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16:40–17:05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4 — risk identification, analysis, response, contingency and monitoring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17:05–17:50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7 — Build the Risk Register and Fund Responses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17:50–18:20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Day 1 integration gate — scope, schedule, cost, quality and risk baseline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18:20–18:30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Recap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Save Activities 1–7 and complete mandatory PM digital attendance</w:t>
            </w:r>
          </w:p>
        </w:tc>
      </w:tr>
    </w:tbl>
    <w:p>
      <w:r>
        <w:rPr>
          <w:rFonts w:ascii="Arial" w:hAnsi="Arial"/>
          <w:b w:val="0"/>
          <w:i/>
          <w:color w:val="5F6B7A"/>
          <w:sz w:val="22"/>
        </w:rPr>
        <w:t>Training time: 480 minutes (8.0 hours), excluding lunch.</w:t>
      </w:r>
    </w:p>
    <w:p>
      <w:pPr>
        <w:pStyle w:val="Heading2"/>
      </w:pPr>
      <w:r>
        <w:t>Day 2 — From stakeholder alignment to controlled delivery and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9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Min</w:t>
            </w:r>
          </w:p>
        </w:tc>
        <w:tc>
          <w:tcPr>
            <w:tcW w:type="dxa" w:w="1224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1655D1"/>
          </w:tcPr>
          <w:p>
            <w:r>
              <w:rPr>
                <w:b/>
                <w:color w:val="FFFFFF"/>
                <w:sz w:val="17"/>
              </w:rPr>
              <w:t>Learning and Facilitation Activity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09:30–09:40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Day 1 recall, questions and mandatory AM digital attendance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09:40–10:05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5 — stakeholder identification, salience, RACI, communication and engagement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10:05–10:45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8 — Align Stakeholders, Accountability and Communications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10:45–11:10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6 — capacity, procurement, team development and conflict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11:10–11:55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9 — Deploy Resources and Resolve the Bottleneck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11:55–12:15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Execution integration — work, suppliers, knowledge, engagement and resources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12:15–12:30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Recap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Peer gate review and evidence-chain reconciliation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12:30–13:30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Lunch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Lunch break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13:30–13:50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Monitoring quality — check sheet, root cause, Pareto and control charts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13:50–14:30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10 — Diagnose the Pilot Quality Failure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14:30–14:55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Topic 7 — integrated status, EVM, issues, change and corrective action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14:55–15:40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11 — Control Performance, Issues and Change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15:40–15:55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Concept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Closure — acceptance, handover, contracts, lessons and benefits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15:55–16:30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Activity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Activity 12 — Accept, Handover and Close the Project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16:30–16:45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Wrap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End-to-end lifecycle integration, assessment readiness and Q&amp;A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16:45–16:55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Assessment briefing and candidate instructions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16:55–18:25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Assessment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Written Case Study and Oral Questioning — timings retained from the current approved lesson-plan block</w:t>
            </w:r>
          </w:p>
        </w:tc>
      </w:tr>
      <w:tr>
        <w:tc>
          <w:tcPr>
            <w:tcW w:type="dxa" w:w="1584"/>
          </w:tcPr>
          <w:p>
            <w:r>
              <w:rPr>
                <w:sz w:val="17"/>
              </w:rPr>
              <w:t>18:25–18:30</w:t>
            </w:r>
          </w:p>
        </w:tc>
        <w:tc>
          <w:tcPr>
            <w:tcW w:type="dxa" w:w="79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  <w:t>Funding reminders, TRAQOM and mandatory Assessment/PM digital attendance</w:t>
            </w:r>
          </w:p>
        </w:tc>
      </w:tr>
    </w:tbl>
    <w:p>
      <w:r>
        <w:rPr>
          <w:rFonts w:ascii="Arial" w:hAnsi="Arial"/>
          <w:b w:val="0"/>
          <w:i/>
          <w:color w:val="5F6B7A"/>
          <w:sz w:val="22"/>
        </w:rPr>
        <w:t>Training time: 480 minutes (8.0 hours), excluding lunch.</w:t>
      </w:r>
    </w:p>
    <w:p>
      <w:pPr>
        <w:pStyle w:val="Heading1"/>
      </w:pPr>
      <w:r>
        <w:t>6. Topic and Activity Facilitation</w:t>
      </w:r>
    </w:p>
    <w:p>
      <w:pPr>
        <w:pStyle w:val="Heading2"/>
      </w:pPr>
      <w:r>
        <w:t>Topic 01 — Initiation of a Project</w:t>
      </w:r>
    </w:p>
    <w:p>
      <w:r>
        <w:rPr>
          <w:rFonts w:ascii="Arial" w:hAnsi="Arial"/>
          <w:b/>
          <w:i w:val="0"/>
          <w:color w:val="1655D1"/>
          <w:sz w:val="22"/>
        </w:rPr>
        <w:t>Alignment: A1, K1 · LO1 · Activities 1, 2</w:t>
      </w:r>
    </w:p>
    <w:p>
      <w:r>
        <w:rPr>
          <w:rFonts w:ascii="Arial" w:hAnsi="Arial"/>
          <w:b w:val="0"/>
          <w:i w:val="0"/>
          <w:sz w:val="22"/>
        </w:rPr>
        <w:t>Concept emphasis: Small-project fit · value · charter · scope · team · kickoff</w:t>
      </w:r>
    </w:p>
    <w:p>
      <w:r>
        <w:rPr>
          <w:rFonts w:ascii="Arial" w:hAnsi="Arial"/>
          <w:b w:val="0"/>
          <w:i w:val="0"/>
          <w:sz w:val="22"/>
        </w:rPr>
        <w:t>Activity 1 (35 min): A completed small-project screen, weighted option scorecard, cost-benefit check and sponsor-ready selection recommendation.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Selection prevents the team from efficiently delivering the wrong project.</w:t>
      </w:r>
    </w:p>
    <w:p>
      <w:pPr>
        <w:pStyle w:val="ListBullet"/>
      </w:pPr>
      <w:r>
        <w:t>Weights expose priorities; narrative rationale prevents false precision.</w:t>
      </w:r>
    </w:p>
    <w:p>
      <w:pPr>
        <w:pStyle w:val="ListBullet"/>
      </w:pPr>
      <w:r>
        <w:t>A selected idea is still not authorised work until the charter gate is passed.</w:t>
      </w:r>
    </w:p>
    <w:p>
      <w:r>
        <w:rPr>
          <w:rFonts w:ascii="Arial" w:hAnsi="Arial"/>
          <w:b w:val="0"/>
          <w:i w:val="0"/>
          <w:sz w:val="22"/>
        </w:rPr>
        <w:t>Activity 2 (45 min): A one-page business case, signed-ready charter, assumptions and constraints log, milestone frame, decision tolerances and kickoff action list.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The business case justifies investment; the charter grants authority.</w:t>
      </w:r>
    </w:p>
    <w:p>
      <w:pPr>
        <w:pStyle w:val="ListBullet"/>
      </w:pPr>
      <w:r>
        <w:t>Decision tolerances make lightweight governance possible.</w:t>
      </w:r>
    </w:p>
    <w:p>
      <w:pPr>
        <w:pStyle w:val="ListBullet"/>
      </w:pPr>
      <w:r>
        <w:t>Kickoff converts signed paper into shared commitments and immediate action.</w:t>
      </w:r>
    </w:p>
    <w:p>
      <w:pPr>
        <w:pStyle w:val="Heading2"/>
      </w:pPr>
      <w:r>
        <w:t>Topic 02 — Develop a Project Plan</w:t>
      </w:r>
    </w:p>
    <w:p>
      <w:r>
        <w:rPr>
          <w:rFonts w:ascii="Arial" w:hAnsi="Arial"/>
          <w:b/>
          <w:i w:val="0"/>
          <w:color w:val="1655D1"/>
          <w:sz w:val="22"/>
        </w:rPr>
        <w:t>Alignment: A2, K2 · LO2 · Activities 3, 4, 5</w:t>
      </w:r>
    </w:p>
    <w:p>
      <w:r>
        <w:rPr>
          <w:rFonts w:ascii="Arial" w:hAnsi="Arial"/>
          <w:b w:val="0"/>
          <w:i w:val="0"/>
          <w:sz w:val="22"/>
        </w:rPr>
        <w:t>Concept emphasis: Requirements · scope baseline · WBS · network · schedule · budget</w:t>
      </w:r>
    </w:p>
    <w:p>
      <w:r>
        <w:rPr>
          <w:rFonts w:ascii="Arial" w:hAnsi="Arial"/>
          <w:b w:val="0"/>
          <w:i w:val="0"/>
          <w:sz w:val="22"/>
        </w:rPr>
        <w:t>Activity 3 (35 min): A stakeholder register, workshop decision log and requirements traceability matrix with priorities, owners, deliverables and measurable acceptance evidence.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 requirement is not complete until acceptance can be observed or measured.</w:t>
      </w:r>
    </w:p>
    <w:p>
      <w:pPr>
        <w:pStyle w:val="ListBullet"/>
      </w:pPr>
      <w:r>
        <w:t>Prioritisation is a trade-off decision, not a label applied by the loudest stakeholder.</w:t>
      </w:r>
    </w:p>
    <w:p>
      <w:pPr>
        <w:pStyle w:val="ListBullet"/>
      </w:pPr>
      <w:r>
        <w:t>Traceability protects value when scope changes later.</w:t>
      </w:r>
    </w:p>
    <w:p>
      <w:r>
        <w:rPr>
          <w:rFonts w:ascii="Arial" w:hAnsi="Arial"/>
          <w:b w:val="0"/>
          <w:i w:val="0"/>
          <w:sz w:val="22"/>
        </w:rPr>
        <w:t>Activity 4 (45 min): A scope statement, WBS, WBS dictionary and repaired traceability matrix with no missing or duplicated work.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The WBS describes all project work; the schedule describes when that work occurs.</w:t>
      </w:r>
    </w:p>
    <w:p>
      <w:pPr>
        <w:pStyle w:val="ListBullet"/>
      </w:pPr>
      <w:r>
        <w:t>Transition and project-management work are real scope even when customers never see them.</w:t>
      </w:r>
    </w:p>
    <w:p>
      <w:pPr>
        <w:pStyle w:val="ListBullet"/>
      </w:pPr>
      <w:r>
        <w:t>A strong dictionary prevents different teams from estimating different meanings.</w:t>
      </w:r>
    </w:p>
    <w:p>
      <w:r>
        <w:rPr>
          <w:rFonts w:ascii="Arial" w:hAnsi="Arial"/>
          <w:b w:val="0"/>
          <w:i w:val="0"/>
          <w:sz w:val="22"/>
        </w:rPr>
        <w:t>Activity 5 (55 min): A network with forward/backward passes, critical path, Gantt milestones, basis of estimates and a time-phased cost baseline plus contingency within the authorised ceiling.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 Gantt is the presentation of schedule logic, not the logic itself.</w:t>
      </w:r>
    </w:p>
    <w:p>
      <w:pPr>
        <w:pStyle w:val="ListBullet"/>
      </w:pPr>
      <w:r>
        <w:t>The critical path can change after every update or approved change.</w:t>
      </w:r>
    </w:p>
    <w:p>
      <w:pPr>
        <w:pStyle w:val="ListBullet"/>
      </w:pPr>
      <w:r>
        <w:t>Baseline and forecast must remain separate so variance can be explained.</w:t>
      </w:r>
    </w:p>
    <w:p>
      <w:pPr>
        <w:pStyle w:val="Heading2"/>
      </w:pPr>
      <w:r>
        <w:t>Topic 03 — Apply Methods and Tools to Drive a Project</w:t>
      </w:r>
    </w:p>
    <w:p>
      <w:r>
        <w:rPr>
          <w:rFonts w:ascii="Arial" w:hAnsi="Arial"/>
          <w:b/>
          <w:i w:val="0"/>
          <w:color w:val="1655D1"/>
          <w:sz w:val="22"/>
        </w:rPr>
        <w:t>Alignment: A3, K3 · LO3 · Activities 6, 10</w:t>
      </w:r>
    </w:p>
    <w:p>
      <w:r>
        <w:rPr>
          <w:rFonts w:ascii="Arial" w:hAnsi="Arial"/>
          <w:b w:val="0"/>
          <w:i w:val="0"/>
          <w:sz w:val="22"/>
        </w:rPr>
        <w:t>Concept emphasis: Quality planning · flow · root cause · Pareto · improvement</w:t>
      </w:r>
    </w:p>
    <w:p>
      <w:r>
        <w:rPr>
          <w:rFonts w:ascii="Arial" w:hAnsi="Arial"/>
          <w:b w:val="0"/>
          <w:i w:val="0"/>
          <w:sz w:val="22"/>
        </w:rPr>
        <w:t>Activity 6 (35 min): A documented hybrid approach, phase and iteration rhythm, quality management plan, Definition of Done, Kanban policy and measurement plan.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Hybrid is intentional tailoring, not running two incompatible systems in parallel.</w:t>
      </w:r>
    </w:p>
    <w:p>
      <w:pPr>
        <w:pStyle w:val="ListBullet"/>
      </w:pPr>
      <w:r>
        <w:t>Quality must be designed into the workflow before it is inspected at the end.</w:t>
      </w:r>
    </w:p>
    <w:p>
      <w:pPr>
        <w:pStyle w:val="ListBullet"/>
      </w:pPr>
      <w:r>
        <w:t>A tool earns its place only when it changes a decision or behaviour.</w:t>
      </w:r>
    </w:p>
    <w:p>
      <w:r>
        <w:rPr>
          <w:rFonts w:ascii="Arial" w:hAnsi="Arial"/>
          <w:b w:val="0"/>
          <w:i w:val="0"/>
          <w:sz w:val="22"/>
        </w:rPr>
        <w:t>Activity 10 (40 min): A check sheet, fishbone, five-whys chain, Pareto chart, control-chart interpretation and SMART corrective experiment.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Fishbone broadens, Five Whys deepens and Pareto prioritises.</w:t>
      </w:r>
    </w:p>
    <w:p>
      <w:pPr>
        <w:pStyle w:val="ListBullet"/>
      </w:pPr>
      <w:r>
        <w:t>Control limits describe process behaviour; specifications describe customer need.</w:t>
      </w:r>
    </w:p>
    <w:p>
      <w:pPr>
        <w:pStyle w:val="ListBullet"/>
      </w:pPr>
      <w:r>
        <w:t>Improvement is project work only when funded, owned and verified.</w:t>
      </w:r>
    </w:p>
    <w:p>
      <w:pPr>
        <w:pStyle w:val="Heading2"/>
      </w:pPr>
      <w:r>
        <w:t>Topic 04 — Manage Project Risk</w:t>
      </w:r>
    </w:p>
    <w:p>
      <w:r>
        <w:rPr>
          <w:rFonts w:ascii="Arial" w:hAnsi="Arial"/>
          <w:b/>
          <w:i w:val="0"/>
          <w:color w:val="1655D1"/>
          <w:sz w:val="22"/>
        </w:rPr>
        <w:t>Alignment: A4, K4 · LO4 · Activities 7</w:t>
      </w:r>
    </w:p>
    <w:p>
      <w:r>
        <w:rPr>
          <w:rFonts w:ascii="Arial" w:hAnsi="Arial"/>
          <w:b w:val="0"/>
          <w:i w:val="0"/>
          <w:sz w:val="22"/>
        </w:rPr>
        <w:t>Concept emphasis: Identify · assess · respond · contingency · monitor</w:t>
      </w:r>
    </w:p>
    <w:p>
      <w:r>
        <w:rPr>
          <w:rFonts w:ascii="Arial" w:hAnsi="Arial"/>
          <w:b w:val="0"/>
          <w:i w:val="0"/>
          <w:sz w:val="22"/>
        </w:rPr>
        <w:t>Activity 7 (45 min): A prioritised risk register, response and trigger plan, EMV recommendation, tornado sensitivity reading and reconciled S$18,000 contingency allocation.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Risk management creates options before triggers become expensive issues.</w:t>
      </w:r>
    </w:p>
    <w:p>
      <w:pPr>
        <w:pStyle w:val="ListBullet"/>
      </w:pPr>
      <w:r>
        <w:t>Quantitative analysis sharpens material decisions but does not replace judgement.</w:t>
      </w:r>
    </w:p>
    <w:p>
      <w:pPr>
        <w:pStyle w:val="ListBullet"/>
      </w:pPr>
      <w:r>
        <w:t>Acceptance means informed monitoring and contingency, not forgetting the risk.</w:t>
      </w:r>
    </w:p>
    <w:p>
      <w:pPr>
        <w:pStyle w:val="Heading2"/>
      </w:pPr>
      <w:r>
        <w:t>Topic 05 — Collaborate with Stakeholders</w:t>
      </w:r>
    </w:p>
    <w:p>
      <w:r>
        <w:rPr>
          <w:rFonts w:ascii="Arial" w:hAnsi="Arial"/>
          <w:b/>
          <w:i w:val="0"/>
          <w:color w:val="1655D1"/>
          <w:sz w:val="22"/>
        </w:rPr>
        <w:t>Alignment: A5, K5 · LO5 · Activities 8</w:t>
      </w:r>
    </w:p>
    <w:p>
      <w:r>
        <w:rPr>
          <w:rFonts w:ascii="Arial" w:hAnsi="Arial"/>
          <w:b w:val="0"/>
          <w:i w:val="0"/>
          <w:sz w:val="22"/>
        </w:rPr>
        <w:t>Concept emphasis: Identify · analyse · communicate · engage · allocate accountability</w:t>
      </w:r>
    </w:p>
    <w:p>
      <w:r>
        <w:rPr>
          <w:rFonts w:ascii="Arial" w:hAnsi="Arial"/>
          <w:b w:val="0"/>
          <w:i w:val="0"/>
          <w:sz w:val="22"/>
        </w:rPr>
        <w:t>Activity 8 (40 min): A stakeholder map, salience reading, validated RACI, engagement assessment, communication actions and one-minute escalation recommendation.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Many communication failures begin as unclear decision rights.</w:t>
      </w:r>
    </w:p>
    <w:p>
      <w:pPr>
        <w:pStyle w:val="ListBullet"/>
      </w:pPr>
      <w:r>
        <w:t>Engagement is participation and feedback, not message broadcasting.</w:t>
      </w:r>
    </w:p>
    <w:p>
      <w:pPr>
        <w:pStyle w:val="ListBullet"/>
      </w:pPr>
      <w:r>
        <w:t>Attention follows influence, impact and urgency—not title alone.</w:t>
      </w:r>
    </w:p>
    <w:p>
      <w:pPr>
        <w:pStyle w:val="Heading2"/>
      </w:pPr>
      <w:r>
        <w:t>Topic 06 — Deploy Resources</w:t>
      </w:r>
    </w:p>
    <w:p>
      <w:r>
        <w:rPr>
          <w:rFonts w:ascii="Arial" w:hAnsi="Arial"/>
          <w:b/>
          <w:i w:val="0"/>
          <w:color w:val="1655D1"/>
          <w:sz w:val="22"/>
        </w:rPr>
        <w:t>Alignment: A6 · LO6 · Activities 9</w:t>
      </w:r>
    </w:p>
    <w:p>
      <w:r>
        <w:rPr>
          <w:rFonts w:ascii="Arial" w:hAnsi="Arial"/>
          <w:b w:val="0"/>
          <w:i w:val="0"/>
          <w:sz w:val="22"/>
        </w:rPr>
        <w:t>Concept emphasis: People · budget · equipment · procurement · team performance</w:t>
      </w:r>
    </w:p>
    <w:p>
      <w:r>
        <w:rPr>
          <w:rFonts w:ascii="Arial" w:hAnsi="Arial"/>
          <w:b w:val="0"/>
          <w:i w:val="0"/>
          <w:sz w:val="22"/>
        </w:rPr>
        <w:t>Activity 9 (45 min): An organisation map, capacity heatmap, constraint-aware Kanban, procurement comparison, compression options, budget impact and sponsor recommendation.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A RACI assignment does not create capacity.</w:t>
      </w:r>
    </w:p>
    <w:p>
      <w:pPr>
        <w:pStyle w:val="ListBullet"/>
      </w:pPr>
      <w:r>
        <w:t>Manage the constraint before adding capacity elsewhere.</w:t>
      </w:r>
    </w:p>
    <w:p>
      <w:pPr>
        <w:pStyle w:val="ListBullet"/>
      </w:pPr>
      <w:r>
        <w:t>Crashing buys time with cost; fast tracking buys time with risk.</w:t>
      </w:r>
    </w:p>
    <w:p>
      <w:pPr>
        <w:pStyle w:val="Heading2"/>
      </w:pPr>
      <w:r>
        <w:t>Topic 07 — Track Project Deliverables and Correct Misalignments</w:t>
      </w:r>
    </w:p>
    <w:p>
      <w:r>
        <w:rPr>
          <w:rFonts w:ascii="Arial" w:hAnsi="Arial"/>
          <w:b/>
          <w:i w:val="0"/>
          <w:color w:val="1655D1"/>
          <w:sz w:val="22"/>
        </w:rPr>
        <w:t>Alignment: A7 · LO7 · Activities 11, 12</w:t>
      </w:r>
    </w:p>
    <w:p>
      <w:r>
        <w:rPr>
          <w:rFonts w:ascii="Arial" w:hAnsi="Arial"/>
          <w:b w:val="0"/>
          <w:i w:val="0"/>
          <w:sz w:val="22"/>
        </w:rPr>
        <w:t>Concept emphasis: Performance · earned value · change · corrective action · handover · closure</w:t>
      </w:r>
    </w:p>
    <w:p>
      <w:r>
        <w:rPr>
          <w:rFonts w:ascii="Arial" w:hAnsi="Arial"/>
          <w:b w:val="0"/>
          <w:i w:val="0"/>
          <w:sz w:val="22"/>
        </w:rPr>
        <w:t>Activity 11 (45 min): An integrated status report, EVM calculations and forecast, issue decision, change-impact analysis, decision log, corrective action and updated control records.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Status reporting is a decision system, not a colour-coded history lesson.</w:t>
      </w:r>
    </w:p>
    <w:p>
      <w:pPr>
        <w:pStyle w:val="ListBullet"/>
      </w:pPr>
      <w:r>
        <w:t>Change control enables deliberate trade-offs; it does not prevent change.</w:t>
      </w:r>
    </w:p>
    <w:p>
      <w:pPr>
        <w:pStyle w:val="ListBullet"/>
      </w:pPr>
      <w:r>
        <w:t>An approved change is incomplete until every affected baseline is updated.</w:t>
      </w:r>
    </w:p>
    <w:p>
      <w:r>
        <w:rPr>
          <w:rFonts w:ascii="Arial" w:hAnsi="Arial"/>
          <w:b w:val="0"/>
          <w:i w:val="0"/>
          <w:sz w:val="22"/>
        </w:rPr>
        <w:t>Activity 12 (35 min): Signed acceptance matrix, handover and training evidence, unresolved-item disposition, contract closeout, lessons register, benefits tracker and formal closure recommendation.</w:t>
      </w:r>
    </w:p>
    <w:p>
      <w:r>
        <w:rPr>
          <w:rFonts w:ascii="Arial" w:hAnsi="Arial"/>
          <w:b w:val="0"/>
          <w:i w:val="0"/>
          <w:sz w:val="22"/>
        </w:rPr>
        <w:t>Facilitation approach: brief the decision and constraints, allow teams to work in the editable tools, conduct a peer gate review, and debrief against the acceptance criteria.</w:t>
      </w:r>
    </w:p>
    <w:p>
      <w:r>
        <w:rPr>
          <w:rFonts w:ascii="Arial" w:hAnsi="Arial"/>
          <w:b/>
          <w:i w:val="0"/>
          <w:sz w:val="22"/>
        </w:rPr>
        <w:t>Trainer watch-outs:</w:t>
      </w:r>
    </w:p>
    <w:p>
      <w:pPr>
        <w:pStyle w:val="ListBullet"/>
      </w:pPr>
      <w:r>
        <w:t>Elapsed time does not close a project; complete evidence and transferred accountability do.</w:t>
      </w:r>
    </w:p>
    <w:p>
      <w:pPr>
        <w:pStyle w:val="ListBullet"/>
      </w:pPr>
      <w:r>
        <w:t>Lessons become assets only when future owners can find and use them.</w:t>
      </w:r>
    </w:p>
    <w:p>
      <w:pPr>
        <w:pStyle w:val="ListBullet"/>
      </w:pPr>
      <w:r>
        <w:t>Project work ends before benefits measurement ends.</w:t>
      </w:r>
    </w:p>
    <w:p>
      <w:pPr>
        <w:pStyle w:val="Heading1"/>
      </w:pPr>
      <w:r>
        <w:t>7. Trainer Delivery Notes</w:t>
      </w:r>
    </w:p>
    <w:p>
      <w:pPr>
        <w:pStyle w:val="Heading2"/>
      </w:pPr>
      <w:r>
        <w:t>7.1 Timing Discipline</w:t>
      </w:r>
    </w:p>
    <w:p>
      <w:pPr>
        <w:pStyle w:val="ListBullet"/>
      </w:pPr>
      <w:r>
        <w:t>The activities are the primary applied-learning evidence. If timing slips, compress repeated explanations before reducing hands-on practice.</w:t>
      </w:r>
    </w:p>
    <w:p>
      <w:pPr>
        <w:pStyle w:val="ListBullet"/>
      </w:pPr>
      <w:r>
        <w:t>Call a hard stop for each stage and display the decision required. Teams should not spend the entire activity beautifying a template.</w:t>
      </w:r>
    </w:p>
    <w:p>
      <w:pPr>
        <w:pStyle w:val="ListBullet"/>
      </w:pPr>
      <w:r>
        <w:t>Use short breaks within team work where indicated by class energy; the formal one-hour lunch remains excluded from training time.</w:t>
      </w:r>
    </w:p>
    <w:p>
      <w:pPr>
        <w:pStyle w:val="Heading2"/>
      </w:pPr>
      <w:r>
        <w:t>7.2 Evidence and Debrief</w:t>
      </w:r>
    </w:p>
    <w:p>
      <w:pPr>
        <w:pStyle w:val="ListBullet"/>
      </w:pPr>
      <w:r>
        <w:t>Require editable files or exports, not only oral reports. Ask any team member to explain the calculation or recommendation.</w:t>
      </w:r>
    </w:p>
    <w:p>
      <w:pPr>
        <w:pStyle w:val="ListBullet"/>
      </w:pPr>
      <w:r>
        <w:t>Use the acceptance criteria as the debrief rubric. A completed template with inconsistent numbers is not accepted.</w:t>
      </w:r>
    </w:p>
    <w:p>
      <w:pPr>
        <w:pStyle w:val="ListBullet"/>
      </w:pPr>
      <w:r>
        <w:t>Keep the HarbourHub facts stable. When teams make an assumption, require them to label it and explain how it will be tested.</w:t>
      </w:r>
    </w:p>
    <w:p>
      <w:pPr>
        <w:pStyle w:val="Heading2"/>
      </w:pPr>
      <w:r>
        <w:t>7.3 Common Misconceptions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655D1"/>
          </w:tcPr>
          <w:p>
            <w:r>
              <w:rPr>
                <w:b/>
                <w:color w:val="FFFFFF"/>
                <w:sz w:val="18"/>
              </w:rPr>
              <w:t>Misconception</w:t>
            </w:r>
          </w:p>
        </w:tc>
        <w:tc>
          <w:tcPr>
            <w:tcW w:type="dxa" w:w="6624"/>
            <w:shd w:val="clear" w:color="auto" w:fill="1655D1"/>
          </w:tcPr>
          <w:p>
            <w:r>
              <w:rPr>
                <w:b/>
                <w:color w:val="FFFFFF"/>
                <w:sz w:val="18"/>
              </w:rPr>
              <w:t>Correction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Small projects do not need governance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Tailor governance; do not remove authorisation, baselines and decision rights.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 Gantt chart is the project plan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visualises schedule information; the integrated plan also covers scope, cost, quality, resources, risk and stakeholders.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The critical path is the most important work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is the longest-duration path through the current dependency network.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 risk register manages risk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Only owned, triggered and funded responses change exposure.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RACI solves collaboration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It clarifies accountability; engagement and decisions still require conversation.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CPI below 1 means under budget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CPI below 1 means less value earned per dollar spent—an adverse cost condition.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Closing means the deadline passed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Closure requires acceptance, transition, contracts, records, lessons and benefits ownership.</w:t>
            </w:r>
          </w:p>
        </w:tc>
      </w:tr>
    </w:tbl>
    <w:p>
      <w:pPr>
        <w:pStyle w:val="Heading2"/>
      </w:pPr>
      <w:r>
        <w:t>7.4 Contingency</w:t>
      </w:r>
    </w:p>
    <w:p>
      <w:pPr>
        <w:pStyle w:val="ListBullet"/>
      </w:pPr>
      <w:r>
        <w:t>If a browser tool is unavailable, use the matching editable Office template in the activity folder.</w:t>
      </w:r>
    </w:p>
    <w:p>
      <w:pPr>
        <w:pStyle w:val="ListBullet"/>
      </w:pPr>
      <w:r>
        <w:t>If a learner has no laptop, pair them with a team that has one and require role rotation so they still calculate, review and present.</w:t>
      </w:r>
    </w:p>
    <w:p>
      <w:pPr>
        <w:pStyle w:val="ListBullet"/>
      </w:pPr>
      <w:r>
        <w:t>If the class is small, form two teams and make each team the other's sponsor gate reviewer.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