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20"/>
        <w:jc w:val="center"/>
      </w:pPr>
      <w:r>
        <w:rPr>
          <w:b/>
          <w:i w:val="0"/>
          <w:color w:val="111827"/>
          <w:sz w:val="26"/>
        </w:rPr>
        <w:t>Tertiary Infotech Academy Pte Ltd</w:t>
      </w:r>
    </w:p>
    <w:p>
      <w:pPr>
        <w:spacing w:after="440"/>
        <w:jc w:val="center"/>
      </w:pPr>
      <w:r>
        <w:rPr>
          <w:b w:val="0"/>
          <w:i w:val="0"/>
          <w:color w:val="555B66"/>
          <w:sz w:val="20"/>
        </w:rPr>
        <w:t>UEN: 201200696W</w:t>
      </w:r>
    </w:p>
    <w:p>
      <w:pPr>
        <w:spacing w:after="120"/>
        <w:jc w:val="center"/>
      </w:pPr>
      <w:r>
        <w:rPr>
          <w:b/>
          <w:i w:val="0"/>
          <w:color w:val="1F6FEB"/>
          <w:sz w:val="52"/>
        </w:rPr>
        <w:t>ACTIVITY WORKSHEETS</w:t>
      </w:r>
    </w:p>
    <w:p>
      <w:pPr>
        <w:spacing w:after="120"/>
        <w:jc w:val="center"/>
      </w:pPr>
      <w:r>
        <w:rPr>
          <w:b w:val="0"/>
          <w:i w:val="0"/>
          <w:color w:val="555B66"/>
          <w:sz w:val="22"/>
        </w:rPr>
        <w:t>For</w:t>
      </w:r>
    </w:p>
    <w:p>
      <w:pPr>
        <w:spacing w:after="60"/>
        <w:jc w:val="center"/>
      </w:pPr>
      <w:r>
        <w:rPr>
          <w:b/>
          <w:i w:val="0"/>
          <w:color w:val="111827"/>
          <w:sz w:val="38"/>
        </w:rPr>
        <w:t>Effective Project Management for Small Projects</w:t>
      </w:r>
    </w:p>
    <w:p>
      <w:pPr>
        <w:spacing w:after="360"/>
        <w:jc w:val="center"/>
      </w:pPr>
      <w:r>
        <w:rPr>
          <w:b w:val="0"/>
          <w:i w:val="0"/>
          <w:color w:val="111827"/>
          <w:sz w:val="22"/>
        </w:rPr>
        <w:t>TGS Ref No: TGS-2020505545</w:t>
      </w:r>
    </w:p>
    <w:p>
      <w:pPr>
        <w:spacing w:after="120"/>
        <w:jc w:val="center"/>
      </w:pPr>
      <w:r>
        <w:rPr>
          <w:b w:val="0"/>
          <w:i w:val="0"/>
          <w:color w:val="555B66"/>
          <w:sz w:val="21"/>
        </w:rPr>
        <w:t>7 activities  ·  one running case study: HarbourFront Logistics</w:t>
      </w:r>
    </w:p>
    <w:p>
      <w:pPr>
        <w:spacing w:after="0"/>
        <w:jc w:val="center"/>
      </w:pPr>
      <w:r>
        <w:rPr>
          <w:b/>
          <w:i w:val="0"/>
          <w:color w:val="1F6FEB"/>
          <w:sz w:val="22"/>
        </w:rPr>
        <w:t>Version v18.0  ·  19 August 2026</w:t>
      </w:r>
    </w:p>
    <w:p>
      <w:r>
        <w:br w:type="page"/>
      </w:r>
    </w:p>
    <w:p>
      <w:pPr>
        <w:spacing w:after="0"/>
        <w:jc w:val="right"/>
      </w:pPr>
      <w:r>
        <w:drawing>
          <wp:inline xmlns:a="http://schemas.openxmlformats.org/drawingml/2006/main" xmlns:pic="http://schemas.openxmlformats.org/drawingml/2006/picture">
            <wp:extent cx="310896" cy="310896"/>
            <wp:docPr id="2" name="Picture 2"/>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1 WORKSHEET</w:t>
      </w:r>
    </w:p>
    <w:p>
      <w:pPr>
        <w:spacing w:after="60"/>
      </w:pPr>
      <w:r>
        <w:rPr>
          <w:b/>
          <w:i w:val="0"/>
          <w:color w:val="111827"/>
          <w:sz w:val="32"/>
        </w:rPr>
        <w:t>Authorise the HarbourHub Click &amp; Collect Pilot</w:t>
      </w:r>
    </w:p>
    <w:p>
      <w:pPr>
        <w:spacing w:after="160"/>
      </w:pPr>
      <w:r>
        <w:rPr>
          <w:b w:val="0"/>
          <w:i w:val="0"/>
          <w:color w:val="555B66"/>
          <w:sz w:val="19"/>
        </w:rPr>
        <w:t>Effective Project Management for Small Projects  ·  TGS-2020505545  ·  Topic 1  ·  LO1  ·  75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https://alfredang.github.io/designthinking/</w:t>
            </w:r>
          </w:p>
        </w:tc>
        <w:tc>
          <w:tcPr>
            <w:tcW w:type="dxa" w:w="5112"/>
            <w:shd w:val="clear" w:color="auto" w:fill="F5F8FC"/>
          </w:tcPr>
          <w:p>
            <w:pPr>
              <w:spacing w:after="20"/>
            </w:pPr>
            <w:r/>
            <w:r>
              <w:rPr>
                <w:b/>
                <w:color w:val="1F6FEB"/>
                <w:sz w:val="16"/>
              </w:rPr>
              <w:t>ACTIVITY FOLDER</w:t>
            </w:r>
          </w:p>
          <w:p>
            <w:pPr>
              <w:spacing w:after="40"/>
            </w:pPr>
            <w:r>
              <w:rPr>
                <w:sz w:val="19"/>
              </w:rPr>
              <w:t>activities/activity-01-*/</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HarbourHub Fresh has approved discovery work for a click-and-collect pilot at three outlets, but the sponsor has not yet authorised delivery. Operations wants speed, Finance wants a hard S$180,000 ceiling, store managers fear disruption, and customers want reliable collection times. Your team must decide whether this is a viable small project and define the authority to proceed.</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Small-project qualification test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Primary user and evidence-based need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Cost–benefit outputs and sensitivity</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Recommended option and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SMART success measures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In-scope deliverables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Explicit exclusions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Milestones and budget cap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Sponsor, PM and core team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Assumptions, constraints and top risks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Kickoff agenda</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12.  </w:t>
      </w:r>
      <w:r>
        <w:rPr>
          <w:b/>
          <w:sz w:val="21"/>
        </w:rPr>
        <w:t>Sponsor gate decision and conditions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charter proves the work qualifies as a small project, names one accountable sponsor, contains quantified success measures and exclusions, stays within five months and S$180,000, and carries an explicit authorisation decision.</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3" name="Picture 3"/>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2 WORKSHEET</w:t>
      </w:r>
    </w:p>
    <w:p>
      <w:pPr>
        <w:spacing w:after="60"/>
      </w:pPr>
      <w:r>
        <w:rPr>
          <w:b/>
          <w:i w:val="0"/>
          <w:color w:val="111827"/>
          <w:sz w:val="32"/>
        </w:rPr>
        <w:t>Build the Integrated Scope, Schedule and Cost Baseline</w:t>
      </w:r>
    </w:p>
    <w:p>
      <w:pPr>
        <w:spacing w:after="160"/>
      </w:pPr>
      <w:r>
        <w:rPr>
          <w:b w:val="0"/>
          <w:i w:val="0"/>
          <w:color w:val="555B66"/>
          <w:sz w:val="19"/>
        </w:rPr>
        <w:t>Effective Project Management for Small Projects  ·  TGS-2020505545  ·  Topic 2  ·  LO2  ·  120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https://lms-tms.tertiaryinfotech.com/</w:t>
            </w:r>
          </w:p>
        </w:tc>
        <w:tc>
          <w:tcPr>
            <w:tcW w:type="dxa" w:w="5112"/>
            <w:shd w:val="clear" w:color="auto" w:fill="F5F8FC"/>
          </w:tcPr>
          <w:p>
            <w:pPr>
              <w:spacing w:after="20"/>
            </w:pPr>
            <w:r/>
            <w:r>
              <w:rPr>
                <w:b/>
                <w:color w:val="1F6FEB"/>
                <w:sz w:val="16"/>
              </w:rPr>
              <w:t>ACTIVITY FOLDER</w:t>
            </w:r>
          </w:p>
          <w:p>
            <w:pPr>
              <w:spacing w:after="40"/>
            </w:pPr>
            <w:r>
              <w:rPr>
                <w:sz w:val="19"/>
              </w:rPr>
              <w:t>activities/activity-02-*/</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sponsor approved the charter with one condition: the three outlets must launch before Lunar New Year trading. You have high-level deliverables but no traceable requirements, work breakdown, dependency logic or time-phased budget. A vendor has proposed a date based only on optimism.</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Planning assumptions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Requirements and sources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MoSCoW decision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WBS and 100% rule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WBS dictionary entries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Dependency logic</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Forward/backward-pass results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Critical path and float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Gantt milestones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Basis of estimates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Time-phased cost baseline and reserves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12.  </w:t>
      </w:r>
      <w:r>
        <w:rPr>
          <w:b/>
          <w:sz w:val="21"/>
        </w:rPr>
        <w:t>Integration cross-check and repair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Every requirement traces to acceptance evidence and a WBS deliverable; the network produces a defensible critical path; the Gantt fits the five-month limit; and all scheduled work is funded within S$180,000.</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4" name="Picture 4"/>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3 WORKSHEET</w:t>
      </w:r>
    </w:p>
    <w:p>
      <w:pPr>
        <w:spacing w:after="60"/>
      </w:pPr>
      <w:r>
        <w:rPr>
          <w:b/>
          <w:i w:val="0"/>
          <w:color w:val="111827"/>
          <w:sz w:val="32"/>
        </w:rPr>
        <w:t>Diagnose and Prioritise the Pilot's Quality Failure</w:t>
      </w:r>
    </w:p>
    <w:p>
      <w:pPr>
        <w:spacing w:after="160"/>
      </w:pPr>
      <w:r>
        <w:rPr>
          <w:b w:val="0"/>
          <w:i w:val="0"/>
          <w:color w:val="555B66"/>
          <w:sz w:val="19"/>
        </w:rPr>
        <w:t>Effective Project Management for Small Projects  ·  TGS-2020505545  ·  Topic 3  ·  LO3  ·  75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https://alfredang.github.io/fishbone/</w:t>
            </w:r>
          </w:p>
        </w:tc>
        <w:tc>
          <w:tcPr>
            <w:tcW w:type="dxa" w:w="5112"/>
            <w:shd w:val="clear" w:color="auto" w:fill="F5F8FC"/>
          </w:tcPr>
          <w:p>
            <w:pPr>
              <w:spacing w:after="20"/>
            </w:pPr>
            <w:r/>
            <w:r>
              <w:rPr>
                <w:b/>
                <w:color w:val="1F6FEB"/>
                <w:sz w:val="16"/>
              </w:rPr>
              <w:t>ACTIVITY FOLDER</w:t>
            </w:r>
          </w:p>
          <w:p>
            <w:pPr>
              <w:spacing w:after="40"/>
            </w:pPr>
            <w:r>
              <w:rPr>
                <w:sz w:val="19"/>
              </w:rPr>
              <w:t>activities/activity-03-*/</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During outlet testing, only 82% of orders are ready at the promised collection time and pick accuracy has fallen to 94%. The software vendor blames store staff; store staff blame late inventory updates. The sponsor wants action before the team has separated symptoms, causes and normal variation.</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Reconciled check sheet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Fishbone effect and cause families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Facts versus hypotheses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Five-whys causal chain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Backwards causal check</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Pareto vital few</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Control-chart interpretation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SMART experiment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Owner, measure and review date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10.  </w:t>
      </w:r>
      <w:r>
        <w:rPr>
          <w:b/>
          <w:sz w:val="21"/>
        </w:rPr>
        <w:t>Sponsor explanation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data total reconciles; Pareto reaches 100%; the five-whys chain ends at an actionable cause; the control chart interpretation matches the pattern; and the corrective experiment has an owner, measure and review date.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5" name="Picture 5"/>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4 WORKSHEET</w:t>
      </w:r>
    </w:p>
    <w:p>
      <w:pPr>
        <w:spacing w:after="60"/>
      </w:pPr>
      <w:r>
        <w:rPr>
          <w:b/>
          <w:i w:val="0"/>
          <w:color w:val="111827"/>
          <w:sz w:val="32"/>
        </w:rPr>
        <w:t>Build the Risk Register and Fund the Right Responses</w:t>
      </w:r>
    </w:p>
    <w:p>
      <w:pPr>
        <w:spacing w:after="160"/>
      </w:pPr>
      <w:r>
        <w:rPr>
          <w:b w:val="0"/>
          <w:i w:val="0"/>
          <w:color w:val="555B66"/>
          <w:sz w:val="19"/>
        </w:rPr>
        <w:t>Effective Project Management for Small Projects  ·  TGS-2020505545  ·  Topic 4  ·  LO4  ·  75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https://lms-tms.tertiaryinfotech.com/</w:t>
            </w:r>
          </w:p>
        </w:tc>
        <w:tc>
          <w:tcPr>
            <w:tcW w:type="dxa" w:w="5112"/>
            <w:shd w:val="clear" w:color="auto" w:fill="F5F8FC"/>
          </w:tcPr>
          <w:p>
            <w:pPr>
              <w:spacing w:after="20"/>
            </w:pPr>
            <w:r/>
            <w:r>
              <w:rPr>
                <w:b/>
                <w:color w:val="1F6FEB"/>
                <w:sz w:val="16"/>
              </w:rPr>
              <w:t>ACTIVITY FOLDER</w:t>
            </w:r>
          </w:p>
          <w:p>
            <w:pPr>
              <w:spacing w:after="40"/>
            </w:pPr>
            <w:r>
              <w:rPr>
                <w:sz w:val="19"/>
              </w:rPr>
              <w:t>activities/activity-04-*/</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pilot has entered build. The POS interface may be delivered late, refrigerated stock counts are unreliable at one outlet, a key trainer is available for only two weeks, and a faster payment option could improve adoption but costs more. The remaining contingency reserve is S$18,000.</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Risk versus issue decisions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Cause-event-impact statements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Probability and impact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Priority exposure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Risk and response owners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Triggers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Preventive, contingency and fallback actions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Decision-tree EMV</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Tornado sensitivity reading</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S$18,000 reserve allocation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Residual and secondary risks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Every priority risk has cause-event-impact wording, an owner, trigger, funded response and residual score; the decision-tree arithmetic reconciles; and the named contingency allocations total no more than S$18,000.</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6" name="Picture 6"/>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5 WORKSHEET</w:t>
      </w:r>
    </w:p>
    <w:p>
      <w:pPr>
        <w:spacing w:after="60"/>
      </w:pPr>
      <w:r>
        <w:rPr>
          <w:b/>
          <w:i w:val="0"/>
          <w:color w:val="111827"/>
          <w:sz w:val="32"/>
        </w:rPr>
        <w:t>Align Stakeholders with a Map, RACI and Engagement Plan</w:t>
      </w:r>
    </w:p>
    <w:p>
      <w:pPr>
        <w:spacing w:after="160"/>
      </w:pPr>
      <w:r>
        <w:rPr>
          <w:b w:val="0"/>
          <w:i w:val="0"/>
          <w:color w:val="555B66"/>
          <w:sz w:val="19"/>
        </w:rPr>
        <w:t>Effective Project Management for Small Projects  ·  TGS-2020505545  ·  Topic 5  ·  LO5  ·  75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https://alfredang.github.io/raci/</w:t>
            </w:r>
          </w:p>
        </w:tc>
        <w:tc>
          <w:tcPr>
            <w:tcW w:type="dxa" w:w="5112"/>
            <w:shd w:val="clear" w:color="auto" w:fill="F5F8FC"/>
          </w:tcPr>
          <w:p>
            <w:pPr>
              <w:spacing w:after="20"/>
            </w:pPr>
            <w:r/>
            <w:r>
              <w:rPr>
                <w:b/>
                <w:color w:val="1F6FEB"/>
                <w:sz w:val="16"/>
              </w:rPr>
              <w:t>ACTIVITY FOLDER</w:t>
            </w:r>
          </w:p>
          <w:p>
            <w:pPr>
              <w:spacing w:after="40"/>
            </w:pPr>
            <w:r>
              <w:rPr>
                <w:sz w:val="19"/>
              </w:rPr>
              <w:t>activities/activity-05-*/</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Two weeks before outlet testing, the POS vendor and operations manager each believe the other owns interface acceptance. Store managers receive conflicting instructions, Finance has not approved the payment milestone, and a high-influence outlet supervisor is quietly resisting the pilot.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Stakeholder register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Power-interest map and evidence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Salience comparison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RACI matrix</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RACI diagnostic corrections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Current versus desired engagement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Communication and feedback rhythm</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Escalation brief</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9.  </w:t>
      </w:r>
      <w:r>
        <w:rPr>
          <w:b/>
          <w:sz w:val="21"/>
        </w:rPr>
        <w:t>Role-play decision and updates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All material stakeholders are analysed; every critical deliverable has exactly one Accountable owner and at least one Responsible party; engagement gaps have two-way actions; and the escalation asks for a clear decision.</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7" name="Picture 7"/>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6 WORKSHEET</w:t>
      </w:r>
    </w:p>
    <w:p>
      <w:pPr>
        <w:spacing w:after="60"/>
      </w:pPr>
      <w:r>
        <w:rPr>
          <w:b/>
          <w:i w:val="0"/>
          <w:color w:val="111827"/>
          <w:sz w:val="32"/>
        </w:rPr>
        <w:t>Deploy the Team and Resolve the Resource Bottleneck</w:t>
      </w:r>
    </w:p>
    <w:p>
      <w:pPr>
        <w:spacing w:after="160"/>
      </w:pPr>
      <w:r>
        <w:rPr>
          <w:b w:val="0"/>
          <w:i w:val="0"/>
          <w:color w:val="555B66"/>
          <w:sz w:val="19"/>
        </w:rPr>
        <w:t>Effective Project Management for Small Projects  ·  TGS-2020505545  ·  Topic 6  ·  LO6  ·  60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activities/activity-06-*/</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The test plan needs 22 person-days in the next two weeks, but only 16 are available. The same business analyst is assigned to testing, training materials and vendor clarification. The sponsor refuses a launch delay unless the team proves no lower-cost option exists.</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Organisation and escalation map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Available capacity by person and skill</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Demand-capacity gap</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Constraint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Kanban and WIP limits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Smoothing option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Levelling option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Crashing option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Fast-tracking option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Budget impact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Sponsor recommendation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12.  </w:t>
      </w:r>
      <w:r>
        <w:rPr>
          <w:b/>
          <w:sz w:val="21"/>
        </w:rPr>
        <w:t>Team handoff and conflict rules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The plan reconciles named work with actual capacity; the bottleneck is visible; each optimisation option has schedule, cost and risk consequences; and the chosen deployment fits the approved project constraints.</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p>
      <w:r>
        <w:br w:type="page"/>
      </w:r>
    </w:p>
    <w:p>
      <w:pPr>
        <w:spacing w:after="0"/>
        <w:jc w:val="right"/>
      </w:pPr>
      <w:r>
        <w:drawing>
          <wp:inline xmlns:a="http://schemas.openxmlformats.org/drawingml/2006/main" xmlns:pic="http://schemas.openxmlformats.org/drawingml/2006/picture">
            <wp:extent cx="310896" cy="310896"/>
            <wp:docPr id="8" name="Picture 8"/>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7 WORKSHEET</w:t>
      </w:r>
    </w:p>
    <w:p>
      <w:pPr>
        <w:spacing w:after="60"/>
      </w:pPr>
      <w:r>
        <w:rPr>
          <w:b/>
          <w:i w:val="0"/>
          <w:color w:val="111827"/>
          <w:sz w:val="32"/>
        </w:rPr>
        <w:t>Control the Pilot, Decide the Change and Close the Project</w:t>
      </w:r>
    </w:p>
    <w:p>
      <w:pPr>
        <w:spacing w:after="160"/>
      </w:pPr>
      <w:r>
        <w:rPr>
          <w:b w:val="0"/>
          <w:i w:val="0"/>
          <w:color w:val="555B66"/>
          <w:sz w:val="19"/>
        </w:rPr>
        <w:t>Effective Project Management for Small Projects  ·  TGS-2020505545  ·  Topic 7  ·  LO7  ·  105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https://alfredang.github.io/scrum/</w:t>
            </w:r>
          </w:p>
        </w:tc>
        <w:tc>
          <w:tcPr>
            <w:tcW w:type="dxa" w:w="5112"/>
            <w:shd w:val="clear" w:color="auto" w:fill="F5F8FC"/>
          </w:tcPr>
          <w:p>
            <w:pPr>
              <w:spacing w:after="20"/>
            </w:pPr>
            <w:r/>
            <w:r>
              <w:rPr>
                <w:b/>
                <w:color w:val="1F6FEB"/>
                <w:sz w:val="16"/>
              </w:rPr>
              <w:t>ACTIVITY FOLDER</w:t>
            </w:r>
          </w:p>
          <w:p>
            <w:pPr>
              <w:spacing w:after="40"/>
            </w:pPr>
            <w:r>
              <w:rPr>
                <w:sz w:val="19"/>
              </w:rPr>
              <w:t>activities/activity-07-*/</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At the end of week 12, the baseline planned value is S$108,000. Completed deliverables represent S$90,000 of budgeted value and actual cost is S$105,000. The sponsor also requests loyalty points, estimated at S$24,000 and three weeks. Launch evidence is incomplete and the vendor wants final payment.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Current Kanban and acceptance evidence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2.  </w:t>
      </w:r>
      <w:r>
        <w:rPr>
          <w:b/>
          <w:sz w:val="21"/>
        </w:rPr>
        <w:t>Burndown interpretation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3.  </w:t>
      </w:r>
      <w:r>
        <w:rPr>
          <w:b/>
          <w:sz w:val="21"/>
        </w:rPr>
        <w:t>PV, EV and AC</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4.  </w:t>
      </w:r>
      <w:r>
        <w:rPr>
          <w:b/>
          <w:sz w:val="21"/>
        </w:rPr>
        <w:t>SV, CV, SPI and CPI</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5.  </w:t>
      </w:r>
      <w:r>
        <w:rPr>
          <w:b/>
          <w:sz w:val="21"/>
        </w:rPr>
        <w:t>EAC and ETC forecast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6.  </w:t>
      </w:r>
      <w:r>
        <w:rPr>
          <w:b/>
          <w:sz w:val="21"/>
        </w:rPr>
        <w:t>One-page status report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7.  </w:t>
      </w:r>
      <w:r>
        <w:rPr>
          <w:b/>
          <w:sz w:val="21"/>
        </w:rPr>
        <w:t>Change impact analysis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8.  </w:t>
      </w:r>
      <w:r>
        <w:rPr>
          <w:b/>
          <w:sz w:val="21"/>
        </w:rPr>
        <w:t>Change decision and rationale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9.  </w:t>
      </w:r>
      <w:r>
        <w:rPr>
          <w:b/>
          <w:sz w:val="21"/>
        </w:rPr>
        <w:t>Updated baselines or decision log</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10.  </w:t>
      </w:r>
      <w:r>
        <w:rPr>
          <w:b/>
          <w:sz w:val="21"/>
        </w:rPr>
        <w:t>Corrective action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11.  </w:t>
      </w:r>
      <w:r>
        <w:rPr>
          <w:b/>
          <w:sz w:val="21"/>
        </w:rPr>
        <w:t>Quality control interpretation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12.  </w:t>
      </w:r>
      <w:r>
        <w:rPr>
          <w:b/>
          <w:sz w:val="21"/>
        </w:rPr>
        <w:t>Acceptance and handover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13.  </w:t>
      </w:r>
      <w:r>
        <w:rPr>
          <w:b/>
          <w:sz w:val="21"/>
        </w:rPr>
        <w:t>Lessons learned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60" w:before="120"/>
      </w:pPr>
      <w:r>
        <w:rPr>
          <w:b/>
          <w:color w:val="1F6FEB"/>
          <w:sz w:val="21"/>
        </w:rPr>
        <w:t xml:space="preserve">14.  </w:t>
      </w:r>
      <w:r>
        <w:rPr>
          <w:b/>
          <w:sz w:val="21"/>
        </w:rPr>
        <w:t>Closure recommendation</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Earned-value calculations and forecast reconcile; the change decision states complete impacts; corrective action has an owner and due date; and closure is supported by acceptance, handover, contract and lessons evidence.</w:t>
      </w:r>
    </w:p>
    <w:p>
      <w:pPr>
        <w:spacing w:after="100"/>
        <w:ind w:left="144"/>
      </w:pPr>
      <w:r>
        <w:rPr>
          <w:b/>
          <w:color w:val="10B981"/>
          <w:sz w:val="26"/>
        </w:rPr>
        <w:t xml:space="preserve">☐   </w:t>
      </w:r>
      <w:r>
        <w:rPr>
          <w:sz w:val="20"/>
        </w:rPr>
        <w:t>All calculations reconcile to the supplied data and approved constraints.</w:t>
      </w:r>
    </w:p>
    <w:p>
      <w:pPr>
        <w:spacing w:after="100"/>
        <w:ind w:left="144"/>
      </w:pPr>
      <w:r>
        <w:rPr>
          <w:b/>
          <w:color w:val="10B981"/>
          <w:sz w:val="26"/>
        </w:rPr>
        <w:t xml:space="preserve">☐   </w:t>
      </w:r>
      <w:r>
        <w:rPr>
          <w:sz w:val="20"/>
        </w:rPr>
        <w:t>Every team member can explain the recommendation and trade-off.</w:t>
      </w:r>
    </w:p>
    <w:p>
      <w:pPr>
        <w:spacing w:after="100"/>
        <w:ind w:left="144"/>
      </w:pPr>
      <w:r>
        <w:rPr>
          <w:b/>
          <w:color w:val="10B981"/>
          <w:sz w:val="26"/>
        </w:rPr>
        <w:t xml:space="preserve">☐   </w:t>
      </w:r>
      <w:r>
        <w:rPr>
          <w:sz w:val="20"/>
        </w:rPr>
        <w:t>Completed editable tools or exports are saved in this folder.</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