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1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Authorise the HarbourHub Click &amp; Collect Pilot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1  ·  LO1  ·  75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https://alfredang.github.io/designthinking/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activities/activity-01-*/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HarbourHub Fresh has approved discovery work for a click-and-collect pilot at three outlets, but the sponsor has not yet authorised delivery. Operations wants speed, Finance wants a hard S$180,000 ceiling, store managers fear disruption, and customers want reliable collection times. Your team must decide whether this is a viable small project and define the authority to proceed.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Small-project qualification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Primary user and evidence-based need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Cost–benefit outputs and sensitivity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Recommended option and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SMART success measures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In-scope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Explicit exclusions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Milestones and budget 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Sponsor, PM and core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Assumptions, constraints and top risks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11.  </w:t>
      </w:r>
      <w:r>
        <w:rPr>
          <w:b/>
          <w:sz w:val="21"/>
        </w:rPr>
        <w:t>Kickoff agenda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12.  </w:t>
      </w:r>
      <w:r>
        <w:rPr>
          <w:b/>
          <w:sz w:val="21"/>
        </w:rPr>
        <w:t>Sponsor gate decision and conditions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charter proves the work qualifies as a small project, names one accountable sponsor, contains quantified success measures and exclusions, stays within five months and S$180,000, and carries an explicit authorisation decision.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