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2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Build the Integrated Scope, Schedule and Cost Baseline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2  ·  LO2  ·  120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https://lms-tms.tertiaryinfotech.com/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activities/activity-02-*/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sponsor approved the charter with one condition: the three outlets must launch before Lunar New Year trading. You have high-level deliverables but no traceable requirements, work breakdown, dependency logic or time-phased budget. A vendor has proposed a date based only on optimism.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Planning assumptions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Requirements and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MoSCoW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WBS and 100% rule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WBS dictionary entries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Dependency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Forward/backward-pass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Critical path and float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Gantt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Basis of estimates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Time-phased cost baseline and reserves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12.  </w:t>
      </w:r>
      <w:r>
        <w:rPr>
          <w:b/>
          <w:sz w:val="21"/>
        </w:rPr>
        <w:t>Integration cross-check and repair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requirement traces to acceptance evidence and a WBS deliverable; the network produces a defensible critical path; the Gantt fits the five-month limit; and all scheduled work is funded within S$180,000.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