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4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Build the Risk Register and Fund the Right Responses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4  ·  LO4  ·  75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https://lms-tms.tertiaryinfotech.com/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activities/activity-04-*/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The pilot has entered build. The POS interface may be delivered late, refrigerated stock counts are unreliable at one outlet, a key trainer is available for only two weeks, and a faster payment option could improve adoption but costs more. The remaining contingency reserve is S$18,000.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Risk versus issue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Cause-event-impact statements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Probability and impact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Priority exposure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Risk and response owners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Triggers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Preventive, contingency and fallback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Decision-tree EMV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Tornado sensitivity reading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S$18,000 reserve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11.  </w:t>
      </w:r>
      <w:r>
        <w:rPr>
          <w:b/>
          <w:sz w:val="21"/>
        </w:rPr>
        <w:t>Residual and secondary risks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priority risk has cause-event-impact wording, an owner, trigger, funded response and residual score; the decision-tree arithmetic reconciles; and the named contingency allocations total no more than S$18,000.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