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5 WORKSHEET</w:t>
      </w:r>
    </w:p>
    <w:p>
      <w:pPr>
        <w:spacing w:after="60"/>
      </w:pPr>
      <w:r>
        <w:rPr>
          <w:b/>
          <w:i w:val="0"/>
          <w:color w:val="111827"/>
          <w:sz w:val="32"/>
        </w:rPr>
        <w:t>Align Stakeholders with a Map, RACI and Engagement Plan</w:t>
      </w:r>
    </w:p>
    <w:p>
      <w:pPr>
        <w:spacing w:after="160"/>
      </w:pPr>
      <w:r>
        <w:rPr>
          <w:b w:val="0"/>
          <w:i w:val="0"/>
          <w:color w:val="555B66"/>
          <w:sz w:val="19"/>
        </w:rPr>
        <w:t>Effective Project Management for Small Projects  ·  TGS-2020505545  ·  Topic 5  ·  LO5  ·  75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https://alfredang.github.io/raci/</w:t>
            </w:r>
          </w:p>
        </w:tc>
        <w:tc>
          <w:tcPr>
            <w:tcW w:type="dxa" w:w="5112"/>
            <w:shd w:val="clear" w:color="auto" w:fill="F5F8FC"/>
          </w:tcPr>
          <w:p>
            <w:pPr>
              <w:spacing w:after="20"/>
            </w:pPr>
            <w:r/>
            <w:r>
              <w:rPr>
                <w:b/>
                <w:color w:val="1F6FEB"/>
                <w:sz w:val="16"/>
              </w:rPr>
              <w:t>ACTIVITY FOLDER</w:t>
            </w:r>
          </w:p>
          <w:p>
            <w:pPr>
              <w:spacing w:after="40"/>
            </w:pPr>
            <w:r>
              <w:rPr>
                <w:sz w:val="19"/>
              </w:rPr>
              <w:t>activities/activity-05-*/</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Two weeks before outlet testing, the POS vendor and operations manager each believe the other owns interface acceptance. Store managers receive conflicting instructions, Finance has not approved the payment milestone, and a high-influence outlet supervisor is quietly resisting the pilot.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Stakeholder register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Power-interest map and evidence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Salience comparison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RACI matrix</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RACI diagnostic corrections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Current versus desired engagement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Communication and feedback rhythm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Escalation brief</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Role-play decision and updates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All material stakeholders are analysed; every critical deliverable has exactly one Accountable owner and at least one Responsible party; engagement gaps have two-way actions; and the escalation asks for a clear decision.</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