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6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Deploy the Team and Resolve the Resource Bottleneck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6  ·  LO6  ·  60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https://alfredang.github.io/scrum/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activities/activity-06-*/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test plan needs 22 person-days in the next two weeks, but only 16 are available. The same business analyst is assigned to testing, training materials and vendor clarification. The sponsor refuses a launch delay unless the team proves no lower-cost option exists.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Organisation and escalation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Available capacity by person and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Demand-capacity gap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Kanban and WIP limits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Smoothing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Levelling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Crashing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Fast-tracking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Budget impact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11.  </w:t>
      </w:r>
      <w:r>
        <w:rPr>
          <w:b/>
          <w:sz w:val="21"/>
        </w:rPr>
        <w:t>Sponsor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12.  </w:t>
      </w:r>
      <w:r>
        <w:rPr>
          <w:b/>
          <w:sz w:val="21"/>
        </w:rPr>
        <w:t>Team handoff and conflict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plan reconciles named work with actual capacity; the bottleneck is visible; each optimisation option has schedule, cost and risk consequences; and the chosen deployment fits the approved project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