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7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Control the Pilot, Decide the Change and Close the Project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7  ·  LO7  ·  105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https://alfredang.github.io/scrum/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activities/activity-07-*/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At the end of week 12, the baseline planned value is S$108,000. Completed deliverables represent S$90,000 of budgeted value and actual cost is S$105,000. The sponsor also requests loyalty points, estimated at S$24,000 and three weeks. Launch evidence is incomplete and the vendor wants final payment.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Current Kanban and acceptance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Burndown interpretation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PV, EV and AC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SV, CV, SPI and CPI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EAC and ETC forecast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One-page status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Change impact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Change decision and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Updated baselines or decision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Corrective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11.  </w:t>
      </w:r>
      <w:r>
        <w:rPr>
          <w:b/>
          <w:sz w:val="21"/>
        </w:rPr>
        <w:t>Quality control interpretation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12.  </w:t>
      </w:r>
      <w:r>
        <w:rPr>
          <w:b/>
          <w:sz w:val="21"/>
        </w:rPr>
        <w:t>Acceptance and handover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13.  </w:t>
      </w:r>
      <w:r>
        <w:rPr>
          <w:b/>
          <w:sz w:val="21"/>
        </w:rPr>
        <w:t>Lessons learned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14.  </w:t>
      </w:r>
      <w:r>
        <w:rPr>
          <w:b/>
          <w:sz w:val="21"/>
        </w:rPr>
        <w:t>Closure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Earned-value calculations and forecast reconcile; the change decision states complete impacts; corrective action has an owner and due date; and closure is supported by acceptance, handover, contract and lessons evidence.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