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Effective Project Management for Small Projects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TGS-2020505545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master trainer slide release used as the controlling syllabus.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Complete visual and instructional redesign; content enriched from the Agile and PMP references; seven connected tool-based activities and self-contained editable template packs added; LG and LP regenerated.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Learning Outcomes and TSC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Delivery Strategy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Assessment Strategy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Detailed 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From idea to an integrated, risk-aware baseline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From stakeholder alignment to controlled delivery and closure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6. Topic and Activity Facilitation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 — Initiation of a Project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 — Develop a Project Plan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 — Apply Methods and Tools to Drive a Project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 — Manage Project Risk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05 — Collaborate with Stakeholders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06 — Deploy Resources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07 — Track Project Deliverables and Correct Misalignments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7. Trainer Delivery Notes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7.1 Timing Discipline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7.2 Evidence and Debrief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7.3 Common Misconceptions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7.4 Contingency</w:t>
        <w:tab/>
        <w:t>11</w:t>
      </w:r>
    </w:p>
    <w:p>
      <w:pPr/>
      <w:r>
        <w:br w:type="page"/>
      </w:r>
    </w:p>
    <w:p>
      <w:pPr>
        <w:pStyle w:val="Heading1"/>
      </w:pPr>
      <w:r>
        <w:t>1. 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color="auto" w:fill="1655D1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560"/>
            <w:shd w:val="clear" w:color="auto" w:fill="1655D1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Course Title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Effective Project Management for Small Projects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Course Reference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TGS-2020505545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TSC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Project Management · ICT-PMT-3026-1.1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Training Provider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Tertiary Infotech Academy Pte Ltd · UEN: 201200696W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2 days · 16 training hours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Daily Timing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9:30 am–6:30 pm; 1-hour lunch excluded; short breaks taken within training time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Mode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Instructor-led, case-based and tool-based group practice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Trainer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Dr Alfred Ang</w:t>
            </w:r>
          </w:p>
        </w:tc>
      </w:tr>
    </w:tbl>
    <w:p>
      <w:pPr>
        <w:pStyle w:val="Heading1"/>
      </w:pPr>
      <w:r>
        <w:t>2. Learning Outcomes and TSC Alignment</w:t>
      </w:r>
    </w:p>
    <w:p>
      <w:pPr>
        <w:pStyle w:val="ListBullet"/>
      </w:pPr>
      <w:r>
        <w:t>LO1: Develop project scope and team to initiate the facilitation of a small project</w:t>
      </w:r>
    </w:p>
    <w:p>
      <w:pPr>
        <w:pStyle w:val="ListBullet"/>
      </w:pPr>
      <w:r>
        <w:t>LO2: Develop a realistic project plan based on the agreed project scope</w:t>
      </w:r>
    </w:p>
    <w:p>
      <w:pPr>
        <w:pStyle w:val="ListBullet"/>
      </w:pPr>
      <w:r>
        <w:t>LO3: Utilise appropriate methods and tools to track and drive a project</w:t>
      </w:r>
    </w:p>
    <w:p>
      <w:pPr>
        <w:pStyle w:val="ListBullet"/>
      </w:pPr>
      <w:r>
        <w:t>LO4: Identify, analyse and manage project risks</w:t>
      </w:r>
    </w:p>
    <w:p>
      <w:pPr>
        <w:pStyle w:val="ListBullet"/>
      </w:pPr>
      <w:r>
        <w:t>LO5: Collaborate effectively with project stakeholders</w:t>
      </w:r>
    </w:p>
    <w:p>
      <w:pPr>
        <w:pStyle w:val="ListBullet"/>
      </w:pPr>
      <w:r>
        <w:t>LO6: Deploy manpower, budget and other resources for efficient completion</w:t>
      </w:r>
    </w:p>
    <w:p>
      <w:pPr>
        <w:pStyle w:val="ListBullet"/>
      </w:pPr>
      <w:r>
        <w:t>LO7: Track project deliverables and correct misalignments through control and closeout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36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6696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Ability / Knowledge</w:t>
            </w:r>
          </w:p>
        </w:tc>
        <w:tc>
          <w:tcPr>
            <w:tcW w:type="dxa" w:w="2160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Delivery evidence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Facilitate execution of small projects that are typically less than six months, with limited budget and interdependencies, and no significant strategic impact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1 · Activity 1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Implement realistic project plans based on project objectives and scope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2 · Activity 2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A3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Utilise appropriate methods and tools to track and drive progress against plans and timelines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3 · Activity 3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A4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Identify risks to project success and take appropriate actions to manage them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4 · Activity 4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A5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Collaborate effectively with relevant internal and external stakeholders directly impacting the project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5 · Activity 5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A6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Deploy manpower, financial budgets and relevant resources for efficient and effective completion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6 · Activity 6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A7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Track deliverables against schedules, monitor costs, timescales and resources, and take basic corrective actions when misaligned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7 · Activity 7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K1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Elements of a small project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1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K2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Requirements of a project plan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2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K3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Application of appropriate project management methodologies and tools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3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K4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Project risks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4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K5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Project stakeholder identification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5</w:t>
            </w:r>
          </w:p>
        </w:tc>
      </w:tr>
    </w:tbl>
    <w:p>
      <w:pPr>
        <w:pStyle w:val="Heading1"/>
      </w:pPr>
      <w:r>
        <w:t>3. Delivery Strategy</w:t>
      </w:r>
    </w:p>
    <w:p>
      <w:pPr>
        <w:pStyle w:val="ListBullet"/>
      </w:pPr>
      <w:r>
        <w:t>The v17 seven-topic syllabus is retained as the controlling sequence.</w:t>
      </w:r>
    </w:p>
    <w:p>
      <w:pPr>
        <w:pStyle w:val="ListBullet"/>
      </w:pPr>
      <w:r>
        <w:t>The Agile and PMP references enrich adaptive/predictive selection, value delivery, estimating, governance, stakeholder engagement, quality, risk, earned value, change control and closure.</w:t>
      </w:r>
    </w:p>
    <w:p>
      <w:pPr>
        <w:pStyle w:val="ListBullet"/>
      </w:pPr>
      <w:r>
        <w:t>One Singapore SME case runs through all seven activities. Learners leave with a connected project evidence trail rather than unrelated exercises.</w:t>
      </w:r>
    </w:p>
    <w:p>
      <w:pPr>
        <w:pStyle w:val="ListBullet"/>
      </w:pPr>
      <w:r>
        <w:t>The PowerPoint remains concept-led. Detailed procedures, evidence fields and acceptance criteria are in the Learner Guide and activity folders.</w:t>
      </w:r>
    </w:p>
    <w:p>
      <w:pPr>
        <w:pStyle w:val="ListBullet"/>
      </w:pPr>
      <w:r>
        <w:t>Each activity uses the actual editable Office templates linked from the v17 source deck; relevant browser tools provide additional visual practice.</w:t>
      </w:r>
    </w:p>
    <w:p>
      <w:pPr>
        <w:pStyle w:val="Heading1"/>
      </w:pPr>
      <w:r>
        <w:t>4. Assessment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655D1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632"/>
            <w:shd w:val="clear" w:color="auto" w:fill="1655D1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Written Assessment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Written Assessment (Case Study) — apply project management judgement to a small-project scenario.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Oral Questioning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Oral Questioning — explain and justify decisions against the course methods and evidence.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Conditions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Open book: course slides, Learner Guide and approved course materials only.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Competency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A minimum of 75% attendance and a Competent result are required for funding eligibility.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Evidence expectation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Method, scenario evidence, calculation or artefact, trade-off, recommendation and next action.</w:t>
            </w:r>
          </w:p>
        </w:tc>
      </w:tr>
    </w:tbl>
    <w:p>
      <w:pPr>
        <w:pStyle w:val="Heading1"/>
      </w:pPr>
      <w:r>
        <w:t>5. Detailed Course Schedule</w:t>
      </w:r>
    </w:p>
    <w:p>
      <w:pPr>
        <w:pStyle w:val="Heading2"/>
      </w:pPr>
      <w:r>
        <w:t>Day 1 — From idea to an integrated, risk-aware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92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Min</w:t>
            </w:r>
          </w:p>
        </w:tc>
        <w:tc>
          <w:tcPr>
            <w:tcW w:type="dxa" w:w="1224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6912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Learning and Facilitation Activity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09:30–09:50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Welcome, course overview, ground rules and mandatory AM digital attendance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09:50–10:20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1 — small-project fit, value, charter, scope, team and kickoff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10:20–11:35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1 — Authorise the HarbourHub Click &amp; Collect Pilot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11:35–12:05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2 — requirements, scope baseline, WBS, dependency logic and estimating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12:05–13:00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2A — requirements, WBS and network logic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13:00–14:00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Lunch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Lunch break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14:00–15:05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2B — critical path, Gantt and cost baseline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15:05–15:30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3 — method selection, quality, flow and root-cause discipline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15:30–16:45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3 — Diagnose and Prioritise the Pilot's Quality Failure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16:45–17:10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4 — risk identification, analysis, response, contingency and monitoring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17:10–18:25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4 — Build the Risk Register and Fund the Right Responses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18:25–18:30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Recap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Day 1 synthesis, save evidence and mandatory PM digital attendance</w:t>
            </w:r>
          </w:p>
        </w:tc>
      </w:tr>
    </w:tbl>
    <w:p>
      <w:r>
        <w:rPr>
          <w:rFonts w:ascii="Arial" w:hAnsi="Arial"/>
          <w:b w:val="0"/>
          <w:i/>
          <w:color w:val="5F6B7A"/>
          <w:sz w:val="22"/>
        </w:rPr>
        <w:t>Training time: 480 minutes (8.0 hours), excluding lunch.</w:t>
      </w:r>
    </w:p>
    <w:p>
      <w:pPr>
        <w:pStyle w:val="Heading2"/>
      </w:pPr>
      <w:r>
        <w:t>Day 2 — From stakeholder alignment to controlled delivery and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92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Min</w:t>
            </w:r>
          </w:p>
        </w:tc>
        <w:tc>
          <w:tcPr>
            <w:tcW w:type="dxa" w:w="1224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6912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Learning and Facilitation Activity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09:30–09:40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Day 1 recall, questions and mandatory AM digital attendance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09:40–10:10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5 — stakeholder identification, analysis, RACI, communication and engagement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10:10–11:25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5 — Align Stakeholders with a Map, RACI and Engagement Plan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11:25–11:50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6 — capacity, optimisation, procurement, team development and conflict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11:50–12:50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6 — Deploy the Team and Resolve the Resource Bottleneck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12:50–13:00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Recap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Morning synthesis and evidence check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13:00–14:00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Lunch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Lunch break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14:00–14:30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7 — status, earned value, change control, corrective action and closure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14:30–16:15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105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7 — Control the Pilot, Decide the Change and Close the Project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16:15–16:35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Wrap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End-to-end integration, assessment readiness and Q&amp;A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16:35–16:50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Assessment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Assessment briefing and candidate instructions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16:50–18:20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90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Assessment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Written Case Study and Oral Questioning — exact instrument timings to mirror the authenticated live assessment plan before release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18:20–18:30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Funding reminders, TRAQOM and mandatory Assessment/PM digital attendance</w:t>
            </w:r>
          </w:p>
        </w:tc>
      </w:tr>
    </w:tbl>
    <w:p>
      <w:r>
        <w:rPr>
          <w:rFonts w:ascii="Arial" w:hAnsi="Arial"/>
          <w:b w:val="0"/>
          <w:i/>
          <w:color w:val="5F6B7A"/>
          <w:sz w:val="22"/>
        </w:rPr>
        <w:t>Training time: 480 minutes (8.0 hours), excluding lunch.</w:t>
      </w:r>
    </w:p>
    <w:p>
      <w:pPr>
        <w:pStyle w:val="Heading1"/>
      </w:pPr>
      <w:r>
        <w:t>6. Topic and Activity Facilitation</w:t>
      </w:r>
    </w:p>
    <w:p>
      <w:pPr>
        <w:pStyle w:val="Heading2"/>
      </w:pPr>
      <w:r>
        <w:t>Topic 01 — Initiation of a Project</w:t>
      </w:r>
    </w:p>
    <w:p>
      <w:r>
        <w:rPr>
          <w:rFonts w:ascii="Arial" w:hAnsi="Arial"/>
          <w:b/>
          <w:i w:val="0"/>
          <w:color w:val="1655D1"/>
          <w:sz w:val="22"/>
        </w:rPr>
        <w:t>Alignment: A1, K1 · LO1 · Activity 1 (75 min)</w:t>
      </w:r>
    </w:p>
    <w:p>
      <w:r>
        <w:rPr>
          <w:rFonts w:ascii="Arial" w:hAnsi="Arial"/>
          <w:b w:val="0"/>
          <w:i w:val="0"/>
          <w:sz w:val="22"/>
        </w:rPr>
        <w:t>Concept emphasis: Small-project fit · value · charter · scope · team · kickoff</w:t>
      </w:r>
    </w:p>
    <w:p>
      <w:r>
        <w:rPr>
          <w:rFonts w:ascii="Arial" w:hAnsi="Arial"/>
          <w:b w:val="0"/>
          <w:i w:val="0"/>
          <w:sz w:val="22"/>
        </w:rPr>
        <w:t>Activity outcome: A cost–benefit analysis, one-page business case and signed-ready project charter with measurable success criteria, scope boundaries, milestone dates, budget cap, team and kickoff agenda.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The business case answers whether the project should exist; the charter answers whether the team is authorised to act.</w:t>
      </w:r>
    </w:p>
    <w:p>
      <w:pPr>
        <w:pStyle w:val="ListBullet"/>
      </w:pPr>
      <w:r>
        <w:t>A scope boundary is incomplete until exclusions are visible—silence is where scope creep starts.</w:t>
      </w:r>
    </w:p>
    <w:p>
      <w:pPr>
        <w:pStyle w:val="ListBullet"/>
      </w:pPr>
      <w:r>
        <w:t>Success criteria must be measurable before the plan is built, or control later becomes opinion.</w:t>
      </w:r>
    </w:p>
    <w:p>
      <w:pPr>
        <w:pStyle w:val="Heading2"/>
      </w:pPr>
      <w:r>
        <w:t>Topic 02 — Develop a Project Plan</w:t>
      </w:r>
    </w:p>
    <w:p>
      <w:r>
        <w:rPr>
          <w:rFonts w:ascii="Arial" w:hAnsi="Arial"/>
          <w:b/>
          <w:i w:val="0"/>
          <w:color w:val="1655D1"/>
          <w:sz w:val="22"/>
        </w:rPr>
        <w:t>Alignment: A2, K2 · LO2 · Activity 2 (120 min)</w:t>
      </w:r>
    </w:p>
    <w:p>
      <w:r>
        <w:rPr>
          <w:rFonts w:ascii="Arial" w:hAnsi="Arial"/>
          <w:b w:val="0"/>
          <w:i w:val="0"/>
          <w:sz w:val="22"/>
        </w:rPr>
        <w:t>Concept emphasis: Requirements · scope baseline · WBS · network · schedule · budget</w:t>
      </w:r>
    </w:p>
    <w:p>
      <w:r>
        <w:rPr>
          <w:rFonts w:ascii="Arial" w:hAnsi="Arial"/>
          <w:b w:val="0"/>
          <w:i w:val="0"/>
          <w:sz w:val="22"/>
        </w:rPr>
        <w:t>Activity outcome: A requirements traceability matrix, WBS and dictionary, network diagram with critical path and float, Gantt schedule with milestones, and time-phased S$180,000 cost baseline with contingency reserve.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A Gantt chart is an output of dependency logic, not a substitute for it.</w:t>
      </w:r>
    </w:p>
    <w:p>
      <w:pPr>
        <w:pStyle w:val="ListBullet"/>
      </w:pPr>
      <w:r>
        <w:t>The integrated baseline is only credible when scope, schedule and cost reconcile to the same work packages.</w:t>
      </w:r>
    </w:p>
    <w:p>
      <w:pPr>
        <w:pStyle w:val="ListBullet"/>
      </w:pPr>
      <w:r>
        <w:t>Float belongs to the project, not automatically to the activity owner who happens to see it.</w:t>
      </w:r>
    </w:p>
    <w:p>
      <w:pPr>
        <w:pStyle w:val="Heading2"/>
      </w:pPr>
      <w:r>
        <w:t>Topic 03 — Apply Methods and Tools to Drive a Project</w:t>
      </w:r>
    </w:p>
    <w:p>
      <w:r>
        <w:rPr>
          <w:rFonts w:ascii="Arial" w:hAnsi="Arial"/>
          <w:b/>
          <w:i w:val="0"/>
          <w:color w:val="1655D1"/>
          <w:sz w:val="22"/>
        </w:rPr>
        <w:t>Alignment: A3, K3 · LO3 · Activity 3 (75 min)</w:t>
      </w:r>
    </w:p>
    <w:p>
      <w:r>
        <w:rPr>
          <w:rFonts w:ascii="Arial" w:hAnsi="Arial"/>
          <w:b w:val="0"/>
          <w:i w:val="0"/>
          <w:sz w:val="22"/>
        </w:rPr>
        <w:t>Concept emphasis: Quality planning · flow · root cause · Pareto · improvement</w:t>
      </w:r>
    </w:p>
    <w:p>
      <w:r>
        <w:rPr>
          <w:rFonts w:ascii="Arial" w:hAnsi="Arial"/>
          <w:b w:val="0"/>
          <w:i w:val="0"/>
          <w:sz w:val="22"/>
        </w:rPr>
        <w:t>Activity outcome: A reconciled check sheet, fishbone diagram, five-level causal chain, Pareto chart, control-chart interpretation and a SMART corrective experiment with owner and review date.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Fishbone broadens the search, 5 Whys deepens one chain, and Pareto tells you which chain is worth funding first.</w:t>
      </w:r>
    </w:p>
    <w:p>
      <w:pPr>
        <w:pStyle w:val="ListBullet"/>
      </w:pPr>
      <w:r>
        <w:t>A control limit describes process behaviour; it is not the same as a customer specification limit.</w:t>
      </w:r>
    </w:p>
    <w:p>
      <w:pPr>
        <w:pStyle w:val="ListBullet"/>
      </w:pPr>
      <w:r>
        <w:t>Improvement becomes project work only when it has capacity, ownership and a verification date.</w:t>
      </w:r>
    </w:p>
    <w:p>
      <w:pPr>
        <w:pStyle w:val="Heading2"/>
      </w:pPr>
      <w:r>
        <w:t>Topic 04 — Manage Project Risk</w:t>
      </w:r>
    </w:p>
    <w:p>
      <w:r>
        <w:rPr>
          <w:rFonts w:ascii="Arial" w:hAnsi="Arial"/>
          <w:b/>
          <w:i w:val="0"/>
          <w:color w:val="1655D1"/>
          <w:sz w:val="22"/>
        </w:rPr>
        <w:t>Alignment: A4, K4 · LO4 · Activity 4 (75 min)</w:t>
      </w:r>
    </w:p>
    <w:p>
      <w:r>
        <w:rPr>
          <w:rFonts w:ascii="Arial" w:hAnsi="Arial"/>
          <w:b w:val="0"/>
          <w:i w:val="0"/>
          <w:sz w:val="22"/>
        </w:rPr>
        <w:t>Concept emphasis: Identify · assess · respond · contingency · monitor</w:t>
      </w:r>
    </w:p>
    <w:p>
      <w:r>
        <w:rPr>
          <w:rFonts w:ascii="Arial" w:hAnsi="Arial"/>
          <w:b w:val="0"/>
          <w:i w:val="0"/>
          <w:sz w:val="22"/>
        </w:rPr>
        <w:t>Activity outcome: A prioritised risk register with owners, triggers, responses, contingency and residual exposure; one decision-tree recommendation; one tornado sensitivity reading; and a reconciled S$18,000 reserve plan.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An owner does not prevent a risk; they watch the trigger and ensure the agreed response is ready.</w:t>
      </w:r>
    </w:p>
    <w:p>
      <w:pPr>
        <w:pStyle w:val="ListBullet"/>
      </w:pPr>
      <w:r>
        <w:t>Contingency is not generic padding—it is a funded response to identified uncertainty.</w:t>
      </w:r>
    </w:p>
    <w:p>
      <w:pPr>
        <w:pStyle w:val="ListBullet"/>
      </w:pPr>
      <w:r>
        <w:t>Quantitative tools sharpen a decision but do not replace judgement about reputation, safety or compliance.</w:t>
      </w:r>
    </w:p>
    <w:p>
      <w:pPr>
        <w:pStyle w:val="Heading2"/>
      </w:pPr>
      <w:r>
        <w:t>Topic 05 — Collaborate with Stakeholders</w:t>
      </w:r>
    </w:p>
    <w:p>
      <w:r>
        <w:rPr>
          <w:rFonts w:ascii="Arial" w:hAnsi="Arial"/>
          <w:b/>
          <w:i w:val="0"/>
          <w:color w:val="1655D1"/>
          <w:sz w:val="22"/>
        </w:rPr>
        <w:t>Alignment: A5, K5 · LO5 · Activity 5 (75 min)</w:t>
      </w:r>
    </w:p>
    <w:p>
      <w:r>
        <w:rPr>
          <w:rFonts w:ascii="Arial" w:hAnsi="Arial"/>
          <w:b w:val="0"/>
          <w:i w:val="0"/>
          <w:sz w:val="22"/>
        </w:rPr>
        <w:t>Concept emphasis: Identify · analyse · communicate · engage · allocate accountability</w:t>
      </w:r>
    </w:p>
    <w:p>
      <w:r>
        <w:rPr>
          <w:rFonts w:ascii="Arial" w:hAnsi="Arial"/>
          <w:b w:val="0"/>
          <w:i w:val="0"/>
          <w:sz w:val="22"/>
        </w:rPr>
        <w:t>Activity outcome: A stakeholder register and power-interest map, salience reading, validated RACI matrix, current-to-desired engagement assessment, communication plan and one evidence-based escalation brief.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Most collaboration failures are decision-right failures before they become communication failures.</w:t>
      </w:r>
    </w:p>
    <w:p>
      <w:pPr>
        <w:pStyle w:val="ListBullet"/>
      </w:pPr>
      <w:r>
        <w:t>RACI clarifies accountability; it does not replace the conversation needed to gain commitment.</w:t>
      </w:r>
    </w:p>
    <w:p>
      <w:pPr>
        <w:pStyle w:val="ListBullet"/>
      </w:pPr>
      <w:r>
        <w:t>Stakeholder attention should follow evidence of influence, impact and urgency—not organisational seniority alone.</w:t>
      </w:r>
    </w:p>
    <w:p>
      <w:pPr>
        <w:pStyle w:val="Heading2"/>
      </w:pPr>
      <w:r>
        <w:t>Topic 06 — Deploy Resources</w:t>
      </w:r>
    </w:p>
    <w:p>
      <w:r>
        <w:rPr>
          <w:rFonts w:ascii="Arial" w:hAnsi="Arial"/>
          <w:b/>
          <w:i w:val="0"/>
          <w:color w:val="1655D1"/>
          <w:sz w:val="22"/>
        </w:rPr>
        <w:t>Alignment: A6 · LO6 · Activity 6 (60 min)</w:t>
      </w:r>
    </w:p>
    <w:p>
      <w:r>
        <w:rPr>
          <w:rFonts w:ascii="Arial" w:hAnsi="Arial"/>
          <w:b w:val="0"/>
          <w:i w:val="0"/>
          <w:sz w:val="22"/>
        </w:rPr>
        <w:t>Concept emphasis: People · budget · equipment · procurement · team performance</w:t>
      </w:r>
    </w:p>
    <w:p>
      <w:r>
        <w:rPr>
          <w:rFonts w:ascii="Arial" w:hAnsi="Arial"/>
          <w:b w:val="0"/>
          <w:i w:val="0"/>
          <w:sz w:val="22"/>
        </w:rPr>
        <w:t>Activity outcome: A two-week capacity plan, organisation and escalation map, workload Kanban, evaluated compression options, reconciled budget impact and a sponsor recommendation that removes the bottleneck.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A name in a RACI matrix does not create capacity; capacity must be measured against concurrent demand.</w:t>
      </w:r>
    </w:p>
    <w:p>
      <w:pPr>
        <w:pStyle w:val="ListBullet"/>
      </w:pPr>
      <w:r>
        <w:t>Fast tracking buys time with risk, while crashing buys time with cost—neither is automatically a good decision.</w:t>
      </w:r>
    </w:p>
    <w:p>
      <w:pPr>
        <w:pStyle w:val="ListBullet"/>
      </w:pPr>
      <w:r>
        <w:t>Manage the constraint first. Adding capacity elsewhere can increase WIP without improving delivery.</w:t>
      </w:r>
    </w:p>
    <w:p>
      <w:pPr>
        <w:pStyle w:val="Heading2"/>
      </w:pPr>
      <w:r>
        <w:t>Topic 07 — Track Project Deliverables and Correct Misalignments</w:t>
      </w:r>
    </w:p>
    <w:p>
      <w:r>
        <w:rPr>
          <w:rFonts w:ascii="Arial" w:hAnsi="Arial"/>
          <w:b/>
          <w:i w:val="0"/>
          <w:color w:val="1655D1"/>
          <w:sz w:val="22"/>
        </w:rPr>
        <w:t>Alignment: A7 · LO7 · Activity 7 (105 min)</w:t>
      </w:r>
    </w:p>
    <w:p>
      <w:r>
        <w:rPr>
          <w:rFonts w:ascii="Arial" w:hAnsi="Arial"/>
          <w:b w:val="0"/>
          <w:i w:val="0"/>
          <w:sz w:val="22"/>
        </w:rPr>
        <w:t>Concept emphasis: Performance · earned value · change · corrective action · handover · closure</w:t>
      </w:r>
    </w:p>
    <w:p>
      <w:r>
        <w:rPr>
          <w:rFonts w:ascii="Arial" w:hAnsi="Arial"/>
          <w:b w:val="0"/>
          <w:i w:val="0"/>
          <w:sz w:val="22"/>
        </w:rPr>
        <w:t>Activity outcome: A current Kanban and burndown, earned-value analysis with forecasts, status report, change-control decision, corrective-action log, acceptance and handover checklist, lessons learned and closure recommendation.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Status reporting is a decision system: variance without forecast and action is only history.</w:t>
      </w:r>
    </w:p>
    <w:p>
      <w:pPr>
        <w:pStyle w:val="ListBullet"/>
      </w:pPr>
      <w:r>
        <w:t>An approved change is not complete until every affected baseline and traceability record is updated.</w:t>
      </w:r>
    </w:p>
    <w:p>
      <w:pPr>
        <w:pStyle w:val="ListBullet"/>
      </w:pPr>
      <w:r>
        <w:t>Project closure transfers accountability for benefits and operations; it does not merely stop project work.</w:t>
      </w:r>
    </w:p>
    <w:p>
      <w:pPr>
        <w:pStyle w:val="Heading1"/>
      </w:pPr>
      <w:r>
        <w:t>7. Trainer Delivery Notes</w:t>
      </w:r>
    </w:p>
    <w:p>
      <w:pPr>
        <w:pStyle w:val="Heading2"/>
      </w:pPr>
      <w:r>
        <w:t>7.1 Timing Discipline</w:t>
      </w:r>
    </w:p>
    <w:p>
      <w:pPr>
        <w:pStyle w:val="ListBullet"/>
      </w:pPr>
      <w:r>
        <w:t>The activities are the primary applied-learning evidence. If timing slips, compress repeated explanations before reducing hands-on practice.</w:t>
      </w:r>
    </w:p>
    <w:p>
      <w:pPr>
        <w:pStyle w:val="ListBullet"/>
      </w:pPr>
      <w:r>
        <w:t>Call a hard stop for each stage and display the decision required. Teams should not spend the entire activity beautifying a template.</w:t>
      </w:r>
    </w:p>
    <w:p>
      <w:pPr>
        <w:pStyle w:val="ListBullet"/>
      </w:pPr>
      <w:r>
        <w:t>Use short breaks within team work where indicated by class energy; the formal one-hour lunch remains excluded from training time.</w:t>
      </w:r>
    </w:p>
    <w:p>
      <w:pPr>
        <w:pStyle w:val="Heading2"/>
      </w:pPr>
      <w:r>
        <w:t>7.2 Evidence and Debrief</w:t>
      </w:r>
    </w:p>
    <w:p>
      <w:pPr>
        <w:pStyle w:val="ListBullet"/>
      </w:pPr>
      <w:r>
        <w:t>Require editable files or exports, not only oral reports. Ask any team member to explain the calculation or recommendation.</w:t>
      </w:r>
    </w:p>
    <w:p>
      <w:pPr>
        <w:pStyle w:val="ListBullet"/>
      </w:pPr>
      <w:r>
        <w:t>Use the acceptance criteria as the debrief rubric. A completed template with inconsistent numbers is not accepted.</w:t>
      </w:r>
    </w:p>
    <w:p>
      <w:pPr>
        <w:pStyle w:val="ListBullet"/>
      </w:pPr>
      <w:r>
        <w:t>Keep the HarbourHub facts stable. When teams make an assumption, require them to label it and explain how it will be tested.</w:t>
      </w:r>
    </w:p>
    <w:p>
      <w:pPr>
        <w:pStyle w:val="Heading2"/>
      </w:pPr>
      <w:r>
        <w:t>7.3 Common Misconceptions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655D1"/>
          </w:tcPr>
          <w:p>
            <w:r>
              <w:rPr>
                <w:b/>
                <w:color w:val="FFFFFF"/>
                <w:sz w:val="18"/>
              </w:rPr>
              <w:t>Misconception</w:t>
            </w:r>
          </w:p>
        </w:tc>
        <w:tc>
          <w:tcPr>
            <w:tcW w:type="dxa" w:w="6624"/>
            <w:shd w:val="clear" w:color="auto" w:fill="1655D1"/>
          </w:tcPr>
          <w:p>
            <w:r>
              <w:rPr>
                <w:b/>
                <w:color w:val="FFFFFF"/>
                <w:sz w:val="18"/>
              </w:rPr>
              <w:t>Correction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Small projects do not need governance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Tailor governance; do not remove authorisation, baselines and decision rights.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 Gantt chart is the project plan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It visualises schedule information; the integrated plan also covers scope, cost, quality, resources, risk and stakeholders.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The critical path is the most important work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It is the longest-duration path through the current dependency network.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 risk register manages risk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Only owned, triggered and funded responses change exposure.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RACI solves collaboration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It clarifies accountability; engagement and decisions still require conversation.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CPI below 1 means under budget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CPI below 1 means less value earned per dollar spent—an adverse cost condition.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Closing means the deadline passed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Closure requires acceptance, transition, contracts, records, lessons and benefits ownership.</w:t>
            </w:r>
          </w:p>
        </w:tc>
      </w:tr>
    </w:tbl>
    <w:p>
      <w:pPr>
        <w:pStyle w:val="Heading2"/>
      </w:pPr>
      <w:r>
        <w:t>7.4 Contingency</w:t>
      </w:r>
    </w:p>
    <w:p>
      <w:pPr>
        <w:pStyle w:val="ListBullet"/>
      </w:pPr>
      <w:r>
        <w:t>If a browser tool is unavailable, use the matching editable Office template in the activity folder.</w:t>
      </w:r>
    </w:p>
    <w:p>
      <w:pPr>
        <w:pStyle w:val="ListBullet"/>
      </w:pPr>
      <w:r>
        <w:t>If a learner has no laptop, pair them with a team that has one and require role rotation so they still calculate, review and present.</w:t>
      </w:r>
    </w:p>
    <w:p>
      <w:pPr>
        <w:pStyle w:val="ListBullet"/>
      </w:pPr>
      <w:r>
        <w:t>If the class is small, form two teams and make each team the other's sponsor gate reviewer.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