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Storytelling with Tableau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TGS-2020505550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Rebuilt from legacy v16 with current visual deck, ten Excel-backed Tableau labs and aligned WA/PP assessment.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Course Overview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Daily Schedule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1: Story strategy, visual insight and dashboard design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2: Story presentation, SME review and interactive Tableau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Topic-by-Topic Delivery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01: Data Storytelling Using Tableau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02: Drawing Insights from Visualisation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03: Develop Dashboards and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04: Present and Review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05: Create Interactive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Resources Required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Data Storytelling with Tableau is a two-day, 16-hour WSQ programme aligned to Data Storytelling (ICT-DIT-4006-1.1). Learners progress from story framing and visual insight to dashboard development, stakeholder review and an interactive Tableau capstone using realistic synthetic Excel datasets.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Course Code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TGS-2020505550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Training Duration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16 hours across 2 days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WA 60 minutes; PP 90 minutes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Dr Alfred Ang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Instructor-led classroom with individual Tableau labs using supplied Excel sources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Utilise Tableau for data visualisation.</w:t>
      </w:r>
    </w:p>
    <w:p>
      <w:pPr>
        <w:pStyle w:val="ListBullet"/>
      </w:pPr>
      <w:r>
        <w:t>LO2: Identify trends and patterns from data.</w:t>
      </w:r>
    </w:p>
    <w:p>
      <w:pPr>
        <w:pStyle w:val="ListBullet"/>
      </w:pPr>
      <w:r>
        <w:t>LO3: Develop dashboards and stories for data storytelling.</w:t>
      </w:r>
    </w:p>
    <w:p>
      <w:pPr>
        <w:pStyle w:val="ListBullet"/>
      </w:pPr>
      <w:r>
        <w:t>LO4: Present stories to stakeholders and review them with subject-matter experts.</w:t>
      </w:r>
    </w:p>
    <w:p>
      <w:pPr>
        <w:pStyle w:val="ListBullet"/>
      </w:pPr>
      <w:r>
        <w:t>LO5: Design interactive visualisations for data storytelling.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1: Story strategy, Tableau foundations, visual insight and dashboard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9:00-9:20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Welcome, AM digital attendance, introductions and outcomes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9:20-10:30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1: story purpose, audience, narrative and Tableau workflow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18-39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10:30-10:40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10:40-12:30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110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1-2: retail and campaign story framing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35-38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12:30-13:15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13:15-14:20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2: visual perception, chart selection and insight patterns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40-61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14:20-15:10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3-4: service trends and Singapore delivery map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57-60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15:10-15:20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15:20-16:20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3: dashboard process, layout, filters and story points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62-83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16:20-17:45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85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 5: omnichannel executive dashboard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79-80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17:45-18:00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reflection, Q&amp;A and PM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Scheduled learning and assessment time excluding lunch: 495 minutes.</w:t>
      </w:r>
    </w:p>
    <w:p>
      <w:r>
        <w:br w:type="page"/>
      </w:r>
    </w:p>
    <w:p>
      <w:pPr>
        <w:pStyle w:val="Heading2"/>
      </w:pPr>
      <w:r>
        <w:t>Day 2: Narrative review, calculations, parameters, actions and interactive capstone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9:00-9:15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recap and AM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9:15-10:20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3 continued: dashboard actions, tooltips, stories and quality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62-83</w:t>
            </w:r>
          </w:p>
        </w:tc>
      </w:tr>
      <w:t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10:20-10:30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10:30-11:20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 6: branch turnaround Tableau Story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81-82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11:20-12:30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70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4: presentation, stakeholder questions and SME review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85-106</w:t>
            </w:r>
          </w:p>
        </w:tc>
      </w:tr>
      <w:t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12:30-13:15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13:15-14:05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7-8: hospital presentation and SME evidence review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102-105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14:05-14:50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45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5: calculations, parameters, actions and interactive UX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worked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107-128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14:50-15:20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30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9-10: pricing explorer and regional capstone briefing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practice and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124-127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15:20-15:30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Assessment briefing and digital attendance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15:30-16:30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Written Assessment (WA/SAQ),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16:30-18:00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90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Practical Performance (PP),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Scheduled learning and assessment time excluding lunch: 495 minutes.</w:t>
      </w:r>
    </w:p>
    <w:p>
      <w:pPr>
        <w:pStyle w:val="Heading1"/>
      </w:pPr>
      <w:r>
        <w:t>Topic-by-Topic Delivery Guide</w:t>
      </w:r>
    </w:p>
    <w:p>
      <w:pPr>
        <w:pStyle w:val="Heading2"/>
      </w:pPr>
      <w:r>
        <w:t>Topic 01: Data Storytelling Using Tableau · Slides 18-39</w:t>
      </w:r>
    </w:p>
    <w:p>
      <w:r>
        <w:t>Story purpose · audience · evidence · storyboard · Tableau workflow</w:t>
      </w:r>
    </w:p>
    <w:p>
      <w:pPr>
        <w:pStyle w:val="ListBullet"/>
      </w:pPr>
      <w:r>
        <w:rPr>
          <w:b/>
        </w:rPr>
        <w:t xml:space="preserve">Story purpose: </w:t>
      </w:r>
      <w:r>
        <w:t>Connect a decision, evidence, explanation and call to action.</w:t>
      </w:r>
    </w:p>
    <w:p>
      <w:pPr>
        <w:pStyle w:val="ListBullet"/>
      </w:pPr>
      <w:r>
        <w:rPr>
          <w:b/>
        </w:rPr>
        <w:t xml:space="preserve">Audience: </w:t>
      </w:r>
      <w:r>
        <w:t>Match depth, vocabulary and interaction to stakeholder needs and data literacy.</w:t>
      </w:r>
    </w:p>
    <w:p>
      <w:pPr>
        <w:pStyle w:val="ListBullet"/>
      </w:pPr>
      <w:r>
        <w:rPr>
          <w:b/>
        </w:rPr>
        <w:t xml:space="preserve">Story arc: </w:t>
      </w:r>
      <w:r>
        <w:t>Orient the audience, reveal the change, explain the driver and land the decision.</w:t>
      </w:r>
    </w:p>
    <w:p>
      <w:pPr>
        <w:pStyle w:val="ListBullet"/>
      </w:pPr>
      <w:r>
        <w:rPr>
          <w:b/>
        </w:rPr>
        <w:t xml:space="preserve">Storyboard: </w:t>
      </w:r>
      <w:r>
        <w:t>Sketch the sequence before building worksheets and dashboards.</w:t>
      </w:r>
    </w:p>
    <w:p>
      <w:pPr>
        <w:pStyle w:val="ListBullet"/>
      </w:pPr>
      <w:r>
        <w:rPr>
          <w:b/>
        </w:rPr>
        <w:t xml:space="preserve">Tableau workflow: </w:t>
      </w:r>
      <w:r>
        <w:t>Connect, explore, build views, assemble dashboards, create story points and share.</w:t>
      </w:r>
    </w:p>
    <w:p>
      <w:pPr>
        <w:pStyle w:val="ListBullet"/>
      </w:pPr>
      <w:r>
        <w:rPr>
          <w:b/>
        </w:rPr>
        <w:t xml:space="preserve">Tool fit: </w:t>
      </w:r>
      <w:r>
        <w:t>Choose Tableau when governed visual exploration and interactive communication are needed.</w:t>
      </w:r>
    </w:p>
    <w:p>
      <w:pPr>
        <w:pStyle w:val="Heading3"/>
      </w:pPr>
      <w:r>
        <w:t>Lab 1: Frame a Retail Performance Story · Slides 35-36</w:t>
      </w:r>
    </w:p>
    <w:p>
      <w:r>
        <w:t>Alignment: LO1 · A1 · K1. Learner output: A validated Tableau data connection, audience brief, story objective and three-point storyboard. Acceptance: A reviewer can state the audience, decision, evidence grain and three-point narrative without opening Tableau.</w:t>
      </w:r>
    </w:p>
    <w:p>
      <w:pPr>
        <w:pStyle w:val="Heading3"/>
      </w:pPr>
      <w:r>
        <w:t>Lab 2: Build a Campaign Insight Narrative · Slides 37-38</w:t>
      </w:r>
    </w:p>
    <w:p>
      <w:r>
        <w:t>Alignment: LO1 · A1 · K1. Learner output: Three worksheets and a story outline linking reach, conversion and profitable customer segments. Acceptance: The narrative identifies one channel to scale, one audience to protect and one risk or limitation to monitor.</w:t>
      </w:r>
    </w:p>
    <w:p>
      <w:pPr>
        <w:pStyle w:val="Heading2"/>
      </w:pPr>
      <w:r>
        <w:t>Topic 02: Drawing Insights from Visualisation · Slides 40-61</w:t>
      </w:r>
    </w:p>
    <w:p>
      <w:r>
        <w:t>Chart selection · perception · patterns · trends · comparisons · uncertainty</w:t>
      </w:r>
    </w:p>
    <w:p>
      <w:pPr>
        <w:pStyle w:val="ListBullet"/>
      </w:pPr>
      <w:r>
        <w:rPr>
          <w:b/>
        </w:rPr>
        <w:t xml:space="preserve">Question first: </w:t>
      </w:r>
      <w:r>
        <w:t>Select a chart from the analytical question, not from visual novelty.</w:t>
      </w:r>
    </w:p>
    <w:p>
      <w:pPr>
        <w:pStyle w:val="ListBullet"/>
      </w:pPr>
      <w:r>
        <w:rPr>
          <w:b/>
        </w:rPr>
        <w:t xml:space="preserve">Comparison: </w:t>
      </w:r>
      <w:r>
        <w:t>Use position and length to make category differences easy to judge.</w:t>
      </w:r>
    </w:p>
    <w:p>
      <w:pPr>
        <w:pStyle w:val="ListBullet"/>
      </w:pPr>
      <w:r>
        <w:rPr>
          <w:b/>
        </w:rPr>
        <w:t xml:space="preserve">Trend: </w:t>
      </w:r>
      <w:r>
        <w:t>Use time on a continuous axis and preserve meaningful baselines and intervals.</w:t>
      </w:r>
    </w:p>
    <w:p>
      <w:pPr>
        <w:pStyle w:val="ListBullet"/>
      </w:pPr>
      <w:r>
        <w:rPr>
          <w:b/>
        </w:rPr>
        <w:t xml:space="preserve">Relationship: </w:t>
      </w:r>
      <w:r>
        <w:t>Use scatterplots to inspect association, clusters and unusual observations.</w:t>
      </w:r>
    </w:p>
    <w:p>
      <w:pPr>
        <w:pStyle w:val="ListBullet"/>
      </w:pPr>
      <w:r>
        <w:rPr>
          <w:b/>
        </w:rPr>
        <w:t xml:space="preserve">Composition: </w:t>
      </w:r>
      <w:r>
        <w:t>Show part-to-whole only when the total and categories are stable and meaningful.</w:t>
      </w:r>
    </w:p>
    <w:p>
      <w:pPr>
        <w:pStyle w:val="ListBullet"/>
      </w:pPr>
      <w:r>
        <w:rPr>
          <w:b/>
        </w:rPr>
        <w:t xml:space="preserve">Annotation: </w:t>
      </w:r>
      <w:r>
        <w:t>Direct attention to the evidence without hiding context or uncertainty.</w:t>
      </w:r>
    </w:p>
    <w:p>
      <w:pPr>
        <w:pStyle w:val="Heading3"/>
      </w:pPr>
      <w:r>
        <w:t>Lab 3: Diagnose Service Trends and Outliers · Slides 57-58</w:t>
      </w:r>
    </w:p>
    <w:p>
      <w:r>
        <w:t>Alignment: LO2 · A2 · K2. Learner output: A trend view, distribution view and annotated exception view with a defensible operational insight. Acceptance: The final view distinguishes trend, seasonality and exceptions and does not claim causation from correlation.</w:t>
      </w:r>
    </w:p>
    <w:p>
      <w:pPr>
        <w:pStyle w:val="Heading3"/>
      </w:pPr>
      <w:r>
        <w:t>Lab 4: Map Delivery Performance Across Singapore · Slides 59-60</w:t>
      </w:r>
    </w:p>
    <w:p>
      <w:r>
        <w:t>Alignment: LO2 · A2 · K2. Learner output: A proportional-symbol map, ranked companion chart and geographic insight with a stated data-quality caveat. Acceptance: The map and ranking agree on the highest-priority planning areas and the caveat prevents over-precise interpretation.</w:t>
      </w:r>
    </w:p>
    <w:p>
      <w:pPr>
        <w:pStyle w:val="Heading2"/>
      </w:pPr>
      <w:r>
        <w:t>Topic 03: Develop Dashboards and Stories · Slides 62-83</w:t>
      </w:r>
    </w:p>
    <w:p>
      <w:r>
        <w:t>Dashboard architecture · layout · context · story points · narrative sequence</w:t>
      </w:r>
    </w:p>
    <w:p>
      <w:pPr>
        <w:pStyle w:val="ListBullet"/>
      </w:pPr>
      <w:r>
        <w:rPr>
          <w:b/>
        </w:rPr>
        <w:t xml:space="preserve">Dashboard purpose: </w:t>
      </w:r>
      <w:r>
        <w:t>One primary decision and a small set of supporting questions.</w:t>
      </w:r>
    </w:p>
    <w:p>
      <w:pPr>
        <w:pStyle w:val="ListBullet"/>
      </w:pPr>
      <w:r>
        <w:rPr>
          <w:b/>
        </w:rPr>
        <w:t xml:space="preserve">Information hierarchy: </w:t>
      </w:r>
      <w:r>
        <w:t>Place the decisive message first, then explanation and detail.</w:t>
      </w:r>
    </w:p>
    <w:p>
      <w:pPr>
        <w:pStyle w:val="ListBullet"/>
      </w:pPr>
      <w:r>
        <w:rPr>
          <w:b/>
        </w:rPr>
        <w:t xml:space="preserve">Layout: </w:t>
      </w:r>
      <w:r>
        <w:t>Use containers, alignment, whitespace and predictable reading order.</w:t>
      </w:r>
    </w:p>
    <w:p>
      <w:pPr>
        <w:pStyle w:val="ListBullet"/>
      </w:pPr>
      <w:r>
        <w:rPr>
          <w:b/>
        </w:rPr>
        <w:t xml:space="preserve">Context: </w:t>
      </w:r>
      <w:r>
        <w:t>Expose period, scope, definitions, filter state and data freshness.</w:t>
      </w:r>
    </w:p>
    <w:p>
      <w:pPr>
        <w:pStyle w:val="ListBullet"/>
      </w:pPr>
      <w:r>
        <w:rPr>
          <w:b/>
        </w:rPr>
        <w:t xml:space="preserve">Story points: </w:t>
      </w:r>
      <w:r>
        <w:t>Sequence views or dashboards so each point advances the argument.</w:t>
      </w:r>
    </w:p>
    <w:p>
      <w:pPr>
        <w:pStyle w:val="ListBullet"/>
      </w:pPr>
      <w:r>
        <w:rPr>
          <w:b/>
        </w:rPr>
        <w:t xml:space="preserve">Performance: </w:t>
      </w:r>
      <w:r>
        <w:t>Limit marks, heavy filters and redundant views so interaction stays responsive.</w:t>
      </w:r>
    </w:p>
    <w:p>
      <w:pPr>
        <w:pStyle w:val="Heading3"/>
      </w:pPr>
      <w:r>
        <w:t>Lab 5: Assemble an Omnichannel Executive Dashboard · Slides 79-80</w:t>
      </w:r>
    </w:p>
    <w:p>
      <w:r>
        <w:t>Alignment: LO3 · A3 · K3. Learner output: A 1366 x 768 dashboard with KPI strip, revenue trend, channel comparison, store drill-down and visible context. Acceptance: The dashboard answers the executive question in under 30 seconds and exposes period, filters, definitions and freshness.</w:t>
      </w:r>
    </w:p>
    <w:p>
      <w:pPr>
        <w:pStyle w:val="Heading3"/>
      </w:pPr>
      <w:r>
        <w:t>Lab 6: Create a Branch Turnaround Tableau Story · Slides 81-82</w:t>
      </w:r>
    </w:p>
    <w:p>
      <w:r>
        <w:t>Alignment: LO3 · A3 · K3. Learner output: A four-point Tableau Story with captions, annotations, saved filter states and a clear call to action. Acceptance: Each story point advances the argument, the filter state is intentional, and the last point names an owner and next action.</w:t>
      </w:r>
    </w:p>
    <w:p>
      <w:pPr>
        <w:pStyle w:val="Heading2"/>
      </w:pPr>
      <w:r>
        <w:t>Topic 04: Present and Review Stories · Slides 85-106</w:t>
      </w:r>
    </w:p>
    <w:p>
      <w:r>
        <w:t>Stakeholder narrative · presentation · SME review · evidence traceability</w:t>
      </w:r>
    </w:p>
    <w:p>
      <w:pPr>
        <w:pStyle w:val="ListBullet"/>
      </w:pPr>
      <w:r>
        <w:rPr>
          <w:b/>
        </w:rPr>
        <w:t xml:space="preserve">Executive opening: </w:t>
      </w:r>
      <w:r>
        <w:t>Lead with the decision, impact and confidence level.</w:t>
      </w:r>
    </w:p>
    <w:p>
      <w:pPr>
        <w:pStyle w:val="ListBullet"/>
      </w:pPr>
      <w:r>
        <w:rPr>
          <w:b/>
        </w:rPr>
        <w:t xml:space="preserve">Evidence ladder: </w:t>
      </w:r>
      <w:r>
        <w:t>Move from KPI to trend, driver, segment and record-level detail.</w:t>
      </w:r>
    </w:p>
    <w:p>
      <w:pPr>
        <w:pStyle w:val="ListBullet"/>
      </w:pPr>
      <w:r>
        <w:rPr>
          <w:b/>
        </w:rPr>
        <w:t xml:space="preserve">Interaction discipline: </w:t>
      </w:r>
      <w:r>
        <w:t>Use filters to answer likely questions without losing the narrative.</w:t>
      </w:r>
    </w:p>
    <w:p>
      <w:pPr>
        <w:pStyle w:val="ListBullet"/>
      </w:pPr>
      <w:r>
        <w:rPr>
          <w:b/>
        </w:rPr>
        <w:t xml:space="preserve">SME review: </w:t>
      </w:r>
      <w:r>
        <w:t>Separate data facts, analytical interpretation and domain judgement.</w:t>
      </w:r>
    </w:p>
    <w:p>
      <w:pPr>
        <w:pStyle w:val="ListBullet"/>
      </w:pPr>
      <w:r>
        <w:rPr>
          <w:b/>
        </w:rPr>
        <w:t xml:space="preserve">Revision log: </w:t>
      </w:r>
      <w:r>
        <w:t>Record what changed, why, who reviewed it and which evidence supports it.</w:t>
      </w:r>
    </w:p>
    <w:p>
      <w:pPr>
        <w:pStyle w:val="ListBullet"/>
      </w:pPr>
      <w:r>
        <w:rPr>
          <w:b/>
        </w:rPr>
        <w:t xml:space="preserve">Accessibility: </w:t>
      </w:r>
      <w:r>
        <w:t>Use descriptive titles, sufficient contrast, limited marks and non-colour cues.</w:t>
      </w:r>
    </w:p>
    <w:p>
      <w:pPr>
        <w:pStyle w:val="Heading3"/>
      </w:pPr>
      <w:r>
        <w:t>Lab 7: Present a Hospital Flow Story · Slides 102-103</w:t>
      </w:r>
    </w:p>
    <w:p>
      <w:r>
        <w:t>Alignment: LO4 · A4 · K4. Learner output: A stakeholder-ready dashboard, five-minute presentation script and question/evidence log. Acceptance: The presentation answers the operations question, identifies a limitation and records unresolved SME questions for follow-up.</w:t>
      </w:r>
    </w:p>
    <w:p>
      <w:pPr>
        <w:pStyle w:val="Heading3"/>
      </w:pPr>
      <w:r>
        <w:t>Lab 8: Run an SME Review and Evidence Revision · Slides 104-105</w:t>
      </w:r>
    </w:p>
    <w:p>
      <w:r>
        <w:t>Alignment: LO4 · A4 · A6 · K4. Learner output: A reviewed dashboard, metric-definition register, decision log and v2 release note. Acceptance: Every material claim has a definition, evidence source and reviewer; the change log distinguishes correction from interpretation.</w:t>
      </w:r>
    </w:p>
    <w:p>
      <w:pPr>
        <w:pStyle w:val="Heading2"/>
      </w:pPr>
      <w:r>
        <w:t>Topic 05: Create Interactive Stories · Slides 107-128</w:t>
      </w:r>
    </w:p>
    <w:p>
      <w:r>
        <w:t>Calculated fields · parameters · filters · actions · navigation · user experience</w:t>
      </w:r>
    </w:p>
    <w:p>
      <w:pPr>
        <w:pStyle w:val="ListBullet"/>
      </w:pPr>
      <w:r>
        <w:rPr>
          <w:b/>
        </w:rPr>
        <w:t xml:space="preserve">Calculated fields: </w:t>
      </w:r>
      <w:r>
        <w:t>Create governed measures and business logic when source fields are insufficient.</w:t>
      </w:r>
    </w:p>
    <w:p>
      <w:pPr>
        <w:pStyle w:val="ListBullet"/>
      </w:pPr>
      <w:r>
        <w:rPr>
          <w:b/>
        </w:rPr>
        <w:t xml:space="preserve">Parameters: </w:t>
      </w:r>
      <w:r>
        <w:t>Expose a controlled value that can drive calculations, filters or reference lines.</w:t>
      </w:r>
    </w:p>
    <w:p>
      <w:pPr>
        <w:pStyle w:val="ListBullet"/>
      </w:pPr>
      <w:r>
        <w:rPr>
          <w:b/>
        </w:rPr>
        <w:t xml:space="preserve">Filter actions: </w:t>
      </w:r>
      <w:r>
        <w:t>Use a selected mark in one view to constrain another view.</w:t>
      </w:r>
    </w:p>
    <w:p>
      <w:pPr>
        <w:pStyle w:val="ListBullet"/>
      </w:pPr>
      <w:r>
        <w:rPr>
          <w:b/>
        </w:rPr>
        <w:t xml:space="preserve">Highlight actions: </w:t>
      </w:r>
      <w:r>
        <w:t>Preserve context while emphasizing related marks.</w:t>
      </w:r>
    </w:p>
    <w:p>
      <w:pPr>
        <w:pStyle w:val="ListBullet"/>
      </w:pPr>
      <w:r>
        <w:rPr>
          <w:b/>
        </w:rPr>
        <w:t xml:space="preserve">URL and navigation: </w:t>
      </w:r>
      <w:r>
        <w:t>Connect the dashboard to detail, definitions or another analytical view.</w:t>
      </w:r>
    </w:p>
    <w:p>
      <w:pPr>
        <w:pStyle w:val="ListBullet"/>
      </w:pPr>
      <w:r>
        <w:rPr>
          <w:b/>
        </w:rPr>
        <w:t xml:space="preserve">Experience design: </w:t>
      </w:r>
      <w:r>
        <w:t>Make state, affordance, reset and next action visible to the user.</w:t>
      </w:r>
    </w:p>
    <w:p>
      <w:pPr>
        <w:pStyle w:val="Heading3"/>
      </w:pPr>
      <w:r>
        <w:t>Lab 9: Build a Parameter-Driven Pricing Explorer · Slides 124-125</w:t>
      </w:r>
    </w:p>
    <w:p>
      <w:r>
        <w:t>Alignment: LO5 · A5 · K5. Learner output: A dashboard with metric parameter, discount threshold, dynamic title, parameter action and reset guidance. Acceptance: A user can switch the metric, change the threshold, select a product and reset the view without editing a worksheet.</w:t>
      </w:r>
    </w:p>
    <w:p>
      <w:pPr>
        <w:pStyle w:val="Heading3"/>
      </w:pPr>
      <w:r>
        <w:t>Lab 10: Deliver an Interactive Regional Story Capstone · Slides 126-127</w:t>
      </w:r>
    </w:p>
    <w:p>
      <w:r>
        <w:t>Alignment: LO1–LO5 · A1–A6 · K1–K5. Learner output: A packaged Tableau workbook with executive dashboard, geographic drill-down, interactive story and signed review checklist. Acceptance: The packaged workbook opens with embedded data; interactions work; the story answers the decision; and A1–A6 evidence is traceable.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Tableau Public or Tableau Desktop on Windows or macOS.</w:t>
      </w:r>
    </w:p>
    <w:p>
      <w:pPr>
        <w:pStyle w:val="ListBullet"/>
      </w:pPr>
      <w:r>
        <w:t>Microsoft Excel or compatible software for inspecting each synthetic data source.</w:t>
      </w:r>
    </w:p>
    <w:p>
      <w:pPr>
        <w:pStyle w:val="ListBullet"/>
      </w:pPr>
      <w:r>
        <w:t>Learner Guide and the ten numbered lab folders.</w:t>
      </w:r>
    </w:p>
    <w:p>
      <w:pPr>
        <w:pStyle w:val="ListBullet"/>
      </w:pPr>
      <w:r>
        <w:t>An Excel workbook plus Tableau TWB and packaged TWBX sample in every lab folder.</w:t>
      </w:r>
    </w:p>
    <w:p>
      <w:pPr>
        <w:pStyle w:val="ListBullet"/>
      </w:pPr>
      <w:r>
        <w:t>Projector for concept briefings, demonstrations and stakeholder presentations.</w:t>
      </w:r>
    </w:p>
    <w:p>
      <w:pPr>
        <w:pStyle w:val="ListBullet"/>
      </w:pPr>
      <w:r>
        <w:t>LMS/TMS access for courseware, attendance and assessment submission.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5 open-ended questions, 60 minutes, open book.</w:t>
      </w:r>
    </w:p>
    <w:p>
      <w:pPr>
        <w:pStyle w:val="ListBullet"/>
      </w:pPr>
      <w:r>
        <w:t>Practical Performance (PP) — 5 connected Tableau tasks, 90 minutes, open book.</w:t>
      </w:r>
    </w:p>
    <w:p>
      <w:pPr>
        <w:pStyle w:val="ListBullet"/>
      </w:pPr>
      <w:r>
        <w:t>Assessment starts at 3:30 PM on Day 2 and ends at 6:00 PM, preserving the approved 60-minute WA and 90-minute PP timings.</w:t>
      </w:r>
    </w:p>
    <w:p>
      <w:pPr>
        <w:pStyle w:val="ListBullet"/>
      </w:pPr>
      <w:r>
        <w:t>Assessment is individual and open book. Learners submit completed papers through the LMS.</w:t>
      </w:r>
    </w:p>
    <w:p>
      <w:pPr>
        <w:pStyle w:val="ListBullet"/>
      </w:pPr>
      <w:r>
        <w:t>A minimum of 75% attendance and a Competent assessment outcome are required.</w:t>
      </w:r>
    </w:p>
    <w:p>
      <w:pPr>
        <w:pStyle w:val="ListBullet"/>
      </w:pPr>
      <w:r>
        <w:t>https://lms-tms.tertiaryinfotech.com/</w:t>
      </w:r>
    </w:p>
    <w:sectPr w:rsidR="00FC693F" w:rsidRPr="0006063C" w:rsidSect="00034616">
      <w:foot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