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for SQL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TGS-2021002619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AI Vibe Coding for SQL release with 11 browser SQLite labs, aligned slides and AI prompt validation controls.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AI Vibe Coding for SQL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TGS-2021002619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1 day · 8 training hours + 1 hour assessment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Instructor-led, hands-on browser SQLite applications</w:t>
            </w:r>
          </w:p>
        </w:tc>
      </w:tr>
      <w:tr>
        <w:tc>
          <w:tcPr>
            <w:tcW w:type="dxa" w:w="4320"/>
          </w:tcPr>
          <w:p>
            <w:r>
              <w:t>Assessment</w:t>
            </w:r>
          </w:p>
        </w:tc>
        <w:tc>
          <w:tcPr>
            <w:tcW w:type="dxa" w:w="4320"/>
          </w:tcPr>
          <w:p>
            <w:r>
              <w:t>WA/SAQ 20 min + PP 40 min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Apply data modelling.</w:t>
      </w:r>
    </w:p>
    <w:p>
      <w:pPr>
        <w:pStyle w:val="ListBullet"/>
      </w:pPr>
      <w:r>
        <w:t>LO2: Apply data processing and analysis.</w:t>
      </w:r>
    </w:p>
    <w:p>
      <w:pPr>
        <w:pStyle w:val="ListBullet"/>
      </w:pPr>
      <w:r>
        <w:t>LO3: Apply data aggregation and transformation.</w:t>
      </w:r>
    </w:p>
    <w:p>
      <w:pPr>
        <w:pStyle w:val="ListBullet"/>
      </w:pPr>
      <w:r>
        <w:t>LO4: Perform data mapping to a data warehouse.</w:t>
      </w:r>
    </w:p>
    <w:p>
      <w:pPr>
        <w:pStyle w:val="Heading1"/>
      </w:pPr>
      <w:r>
        <w:t>Schedule and Slide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Learning Activity</w:t>
            </w:r>
          </w:p>
        </w:tc>
        <w:tc>
          <w:tcPr>
            <w:tcW w:type="dxa" w:w="2160"/>
          </w:tcPr>
          <w:p>
            <w:r>
              <w:t>Slides</w:t>
            </w:r>
          </w:p>
        </w:tc>
      </w:tr>
      <w:tr>
        <w:tc>
          <w:tcPr>
            <w:tcW w:type="dxa" w:w="2160"/>
          </w:tcPr>
          <w:p>
            <w:r>
              <w:t>09:00–09:30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Administration, outcomes and AI-to-SQL control loop</w:t>
            </w:r>
          </w:p>
        </w:tc>
        <w:tc>
          <w:tcPr>
            <w:tcW w:type="dxa" w:w="2160"/>
          </w:tcPr>
          <w:p>
            <w:r>
              <w:t>1–15</w:t>
            </w:r>
          </w:p>
        </w:tc>
      </w:tr>
      <w:tr>
        <w:tc>
          <w:tcPr>
            <w:tcW w:type="dxa" w:w="2160"/>
          </w:tcPr>
          <w:p>
            <w:r>
              <w:t>09:30–10:30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Topic 1 concepts and Lab 1</w:t>
            </w:r>
          </w:p>
        </w:tc>
        <w:tc>
          <w:tcPr>
            <w:tcW w:type="dxa" w:w="2160"/>
          </w:tcPr>
          <w:p>
            <w:r>
              <w:t>16–26</w:t>
            </w:r>
          </w:p>
        </w:tc>
      </w:tr>
      <w:tr>
        <w:tc>
          <w:tcPr>
            <w:tcW w:type="dxa" w:w="2160"/>
          </w:tcPr>
          <w:p>
            <w:r>
              <w:t>10:30–10:45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Tea break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10:45–12:30</w:t>
            </w:r>
          </w:p>
        </w:tc>
        <w:tc>
          <w:tcPr>
            <w:tcW w:type="dxa" w:w="2160"/>
          </w:tcPr>
          <w:p>
            <w:r>
              <w:t>105 min</w:t>
            </w:r>
          </w:p>
        </w:tc>
        <w:tc>
          <w:tcPr>
            <w:tcW w:type="dxa" w:w="2160"/>
          </w:tcPr>
          <w:p>
            <w:r>
              <w:t>Topic 1 Labs 2–3 and Topic 2 concepts</w:t>
            </w:r>
          </w:p>
        </w:tc>
        <w:tc>
          <w:tcPr>
            <w:tcW w:type="dxa" w:w="2160"/>
          </w:tcPr>
          <w:p>
            <w:r>
              <w:t>27–44</w:t>
            </w:r>
          </w:p>
        </w:tc>
      </w:tr>
      <w:tr>
        <w:tc>
          <w:tcPr>
            <w:tcW w:type="dxa" w:w="2160"/>
          </w:tcPr>
          <w:p>
            <w:r>
              <w:t>12:30–13:30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Lunch break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13:30–14:45</w:t>
            </w:r>
          </w:p>
        </w:tc>
        <w:tc>
          <w:tcPr>
            <w:tcW w:type="dxa" w:w="2160"/>
          </w:tcPr>
          <w:p>
            <w:r>
              <w:t>75 min</w:t>
            </w:r>
          </w:p>
        </w:tc>
        <w:tc>
          <w:tcPr>
            <w:tcW w:type="dxa" w:w="2160"/>
          </w:tcPr>
          <w:p>
            <w:r>
              <w:t>Topic 2 Labs 4–6</w:t>
            </w:r>
          </w:p>
        </w:tc>
        <w:tc>
          <w:tcPr>
            <w:tcW w:type="dxa" w:w="2160"/>
          </w:tcPr>
          <w:p>
            <w:r>
              <w:t>45–61</w:t>
            </w:r>
          </w:p>
        </w:tc>
      </w:tr>
      <w:tr>
        <w:tc>
          <w:tcPr>
            <w:tcW w:type="dxa" w:w="2160"/>
          </w:tcPr>
          <w:p>
            <w:r>
              <w:t>14:45–16:00</w:t>
            </w:r>
          </w:p>
        </w:tc>
        <w:tc>
          <w:tcPr>
            <w:tcW w:type="dxa" w:w="2160"/>
          </w:tcPr>
          <w:p>
            <w:r>
              <w:t>75 min</w:t>
            </w:r>
          </w:p>
        </w:tc>
        <w:tc>
          <w:tcPr>
            <w:tcW w:type="dxa" w:w="2160"/>
          </w:tcPr>
          <w:p>
            <w:r>
              <w:t>Topic 3 Labs 7–9</w:t>
            </w:r>
          </w:p>
        </w:tc>
        <w:tc>
          <w:tcPr>
            <w:tcW w:type="dxa" w:w="2160"/>
          </w:tcPr>
          <w:p>
            <w:r>
              <w:t>62–84</w:t>
            </w:r>
          </w:p>
        </w:tc>
      </w:tr>
      <w:tr>
        <w:tc>
          <w:tcPr>
            <w:tcW w:type="dxa" w:w="2160"/>
          </w:tcPr>
          <w:p>
            <w:r>
              <w:t>16:00–16:15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Tea break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16:15–17:30</w:t>
            </w:r>
          </w:p>
        </w:tc>
        <w:tc>
          <w:tcPr>
            <w:tcW w:type="dxa" w:w="2160"/>
          </w:tcPr>
          <w:p>
            <w:r>
              <w:t>75 min</w:t>
            </w:r>
          </w:p>
        </w:tc>
        <w:tc>
          <w:tcPr>
            <w:tcW w:type="dxa" w:w="2160"/>
          </w:tcPr>
          <w:p>
            <w:r>
              <w:t>Topic 4 Labs 10–11 + capstone evidence</w:t>
            </w:r>
          </w:p>
        </w:tc>
        <w:tc>
          <w:tcPr>
            <w:tcW w:type="dxa" w:w="2160"/>
          </w:tcPr>
          <w:p>
            <w:r>
              <w:t>85–102</w:t>
            </w:r>
          </w:p>
        </w:tc>
      </w:tr>
      <w:tr>
        <w:tc>
          <w:tcPr>
            <w:tcW w:type="dxa" w:w="2160"/>
          </w:tcPr>
          <w:p>
            <w:r>
              <w:t>17:30–18:00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Recap, assessment briefing and PM attendance</w:t>
            </w:r>
          </w:p>
        </w:tc>
        <w:tc>
          <w:tcPr>
            <w:tcW w:type="dxa" w:w="2160"/>
          </w:tcPr>
          <w:p>
            <w:r>
              <w:t>103–108</w:t>
            </w:r>
          </w:p>
        </w:tc>
      </w:tr>
      <w:tr>
        <w:tc>
          <w:tcPr>
            <w:tcW w:type="dxa" w:w="2160"/>
          </w:tcPr>
          <w:p>
            <w:r>
              <w:t>18:00–18:20</w:t>
            </w:r>
          </w:p>
        </w:tc>
        <w:tc>
          <w:tcPr>
            <w:tcW w:type="dxa" w:w="2160"/>
          </w:tcPr>
          <w:p>
            <w:r>
              <w:t>20 min</w:t>
            </w:r>
          </w:p>
        </w:tc>
        <w:tc>
          <w:tcPr>
            <w:tcW w:type="dxa" w:w="2160"/>
          </w:tcPr>
          <w:p>
            <w:r>
              <w:t>Written Assessment (WA/SAQ)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18:20–19:00</w:t>
            </w:r>
          </w:p>
        </w:tc>
        <w:tc>
          <w:tcPr>
            <w:tcW w:type="dxa" w:w="2160"/>
          </w:tcPr>
          <w:p>
            <w:r>
              <w:t>40 min</w:t>
            </w:r>
          </w:p>
        </w:tc>
        <w:tc>
          <w:tcPr>
            <w:tcW w:type="dxa" w:w="2160"/>
          </w:tcPr>
          <w:p>
            <w:r>
              <w:t>Practical Performance (PP)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Training time excluding lunch and assessment: 480 minutes (8 hours). Tea breaks are included in training time.</w:t>
      </w:r>
    </w:p>
    <w:p>
      <w:pPr>
        <w:pStyle w:val="Heading1"/>
      </w:pPr>
      <w:r>
        <w:t>Facilitation and Evidence</w:t>
      </w:r>
    </w:p>
    <w:p>
      <w:pPr>
        <w:pStyle w:val="ListBullet"/>
      </w:pPr>
      <w:r>
        <w:t>Use concept/mechanism slides to frame each build; keep click paths in the Learner Guide.</w:t>
      </w:r>
    </w:p>
    <w:p>
      <w:pPr>
        <w:pStyle w:val="ListBullet"/>
      </w:pPr>
      <w:r>
        <w:t>Ask learners to predict result shape before executing AI-generated SQL.</w:t>
      </w:r>
    </w:p>
    <w:p>
      <w:pPr>
        <w:pStyle w:val="ListBullet"/>
      </w:pPr>
      <w:r>
        <w:t>Require prompt log, SQL, output, reconciliation and failure evidence for every lab.</w:t>
      </w:r>
    </w:p>
    <w:p>
      <w:pPr>
        <w:pStyle w:val="ListBullet"/>
      </w:pPr>
      <w:r>
        <w:t>Do not expose assessment answer keys to learners, GitHub or learner-facing LMS links.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