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</w:t>
      </w:r>
    </w:p>
    <w:p>
      <w:pPr>
        <w:pStyle w:val="Subtitle"/>
      </w:pPr>
      <w:r>
        <w:t>Generative AI for Social Media Marketing</w:t>
      </w:r>
    </w:p>
    <w:p>
      <w:r>
        <w:t>TGS-2021003023  |  WSQ  |  2 days / 16 hours  |  v1.0  |  13 Sep 2026</w:t>
      </w:r>
    </w:p>
    <w:p>
      <w:r>
        <w:t>Tertiary Infotech Academy Pte Ltd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Legacy v10</w:t>
            </w:r>
          </w:p>
        </w:tc>
        <w:tc>
          <w:tcPr>
            <w:tcW w:type="dxa" w:w="2160"/>
          </w:tcPr>
          <w:p>
            <w:r>
              <w:t>Prior release</w:t>
            </w:r>
          </w:p>
        </w:tc>
        <w:tc>
          <w:tcPr>
            <w:tcW w:type="dxa" w:w="2160"/>
          </w:tcPr>
          <w:p>
            <w:r>
              <w:t>Instagram-focused source deck; retained as reference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Rebuilt AI social marketing courseware; aligned slides, guide, labs and assessment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pPr>
        <w:pStyle w:val="Heading1"/>
      </w:pPr>
      <w:r>
        <w:t>Course identity and outcomes</w:t>
      </w:r>
    </w:p>
    <w:p>
      <w:r>
        <w:t>Official course page: https://www.tertiarycourses.com.sg/wsq-generative-ai-for-social-media-marketing.html</w:t>
      </w:r>
    </w:p>
    <w:p>
      <w:pPr>
        <w:pStyle w:val="ListBullet"/>
      </w:pPr>
      <w:r>
        <w:t>LO1: Develop a plan and objectives for a social marketing campaign</w:t>
      </w:r>
    </w:p>
    <w:p>
      <w:pPr>
        <w:pStyle w:val="ListBullet"/>
      </w:pPr>
      <w:r>
        <w:t>LO2: Evaluate opportunities and the feasibility of social media platforms</w:t>
      </w:r>
    </w:p>
    <w:p>
      <w:pPr>
        <w:pStyle w:val="ListBullet"/>
      </w:pPr>
      <w:r>
        <w:t>LO3: Create a generative AI social media campaign and monitor its outcome</w:t>
      </w:r>
    </w:p>
    <w:p>
      <w:pPr>
        <w:pStyle w:val="ListBullet"/>
      </w:pPr>
      <w:r>
        <w:t>LO4: Evaluate AI campaign use and organisational impact</w:t>
      </w:r>
    </w:p>
    <w:p>
      <w:pPr>
        <w:pStyle w:val="Heading1"/>
      </w:pPr>
      <w:r>
        <w:t>Delivery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Day 1 AM</w:t>
            </w:r>
          </w:p>
        </w:tc>
        <w:tc>
          <w:tcPr>
            <w:tcW w:type="dxa" w:w="2160"/>
          </w:tcPr>
          <w:p>
            <w:r>
              <w:t>Topic 1; Labs 01–02</w:t>
            </w:r>
          </w:p>
        </w:tc>
        <w:tc>
          <w:tcPr>
            <w:tcW w:type="dxa" w:w="2160"/>
          </w:tcPr>
          <w:p>
            <w:r>
              <w:t>LO1</w:t>
            </w:r>
          </w:p>
        </w:tc>
        <w:tc>
          <w:tcPr>
            <w:tcW w:type="dxa" w:w="2160"/>
          </w:tcPr>
          <w:p>
            <w:r>
              <w:t>Campaign brief, audience and objective evidence</w:t>
            </w:r>
          </w:p>
        </w:tc>
      </w:tr>
      <w:tr>
        <w:tc>
          <w:tcPr>
            <w:tcW w:type="dxa" w:w="2160"/>
          </w:tcPr>
          <w:p>
            <w:r>
              <w:t>Day 1 PM</w:t>
            </w:r>
          </w:p>
        </w:tc>
        <w:tc>
          <w:tcPr>
            <w:tcW w:type="dxa" w:w="2160"/>
          </w:tcPr>
          <w:p>
            <w:r>
              <w:t>Topic 2; Labs 03–04</w:t>
            </w:r>
          </w:p>
        </w:tc>
        <w:tc>
          <w:tcPr>
            <w:tcW w:type="dxa" w:w="2160"/>
          </w:tcPr>
          <w:p>
            <w:r>
              <w:t>LO2</w:t>
            </w:r>
          </w:p>
        </w:tc>
        <w:tc>
          <w:tcPr>
            <w:tcW w:type="dxa" w:w="2160"/>
          </w:tcPr>
          <w:p>
            <w:r>
              <w:t>Platform feasibility and pilot decision</w:t>
            </w:r>
          </w:p>
        </w:tc>
      </w:tr>
      <w:tr>
        <w:tc>
          <w:tcPr>
            <w:tcW w:type="dxa" w:w="2160"/>
          </w:tcPr>
          <w:p>
            <w:r>
              <w:t>Day 2 AM</w:t>
            </w:r>
          </w:p>
        </w:tc>
        <w:tc>
          <w:tcPr>
            <w:tcW w:type="dxa" w:w="2160"/>
          </w:tcPr>
          <w:p>
            <w:r>
              <w:t>Topic 3; Labs 05–06</w:t>
            </w:r>
          </w:p>
        </w:tc>
        <w:tc>
          <w:tcPr>
            <w:tcW w:type="dxa" w:w="2160"/>
          </w:tcPr>
          <w:p>
            <w:r>
              <w:t>LO3</w:t>
            </w:r>
          </w:p>
        </w:tc>
        <w:tc>
          <w:tcPr>
            <w:tcW w:type="dxa" w:w="2160"/>
          </w:tcPr>
          <w:p>
            <w:r>
              <w:t>Approved creative variants, ad structure and calendar</w:t>
            </w:r>
          </w:p>
        </w:tc>
      </w:tr>
      <w:tr>
        <w:tc>
          <w:tcPr>
            <w:tcW w:type="dxa" w:w="2160"/>
          </w:tcPr>
          <w:p>
            <w:r>
              <w:t>Day 2 PM</w:t>
            </w:r>
          </w:p>
        </w:tc>
        <w:tc>
          <w:tcPr>
            <w:tcW w:type="dxa" w:w="2160"/>
          </w:tcPr>
          <w:p>
            <w:r>
              <w:t>Topic 4; Labs 07–08; WA and PP</w:t>
            </w:r>
          </w:p>
        </w:tc>
        <w:tc>
          <w:tcPr>
            <w:tcW w:type="dxa" w:w="2160"/>
          </w:tcPr>
          <w:p>
            <w:r>
              <w:t>LO3–LO4</w:t>
            </w:r>
          </w:p>
        </w:tc>
        <w:tc>
          <w:tcPr>
            <w:tcW w:type="dxa" w:w="2160"/>
          </w:tcPr>
          <w:p>
            <w:r>
              <w:t>Tracking, diagnostics, organisational impact and assessment</w:t>
            </w:r>
          </w:p>
        </w:tc>
      </w:tr>
    </w:tbl>
    <w:p>
      <w:pPr>
        <w:pStyle w:val="Heading1"/>
      </w:pPr>
      <w:r>
        <w:t>Assessment alignment</w:t>
      </w:r>
    </w:p>
    <w:p>
      <w:r>
        <w:t>WA: seven open-ended knowledge questions mapped to K1–K7 and the four topics. PP: four practical tasks mapped to LO1–LO4 and the eight labs. Use the current candidate papers; answer keys are trainer-only.</w:t>
      </w:r>
    </w:p>
    <w:p>
      <w:pPr>
        <w:pStyle w:val="Heading1"/>
      </w:pPr>
      <w:r>
        <w:t>Facilitation and checks</w:t>
      </w:r>
    </w:p>
    <w:p>
      <w:r>
        <w:t>01 Campaign objective and KPI tree: demonstrate SMART brief and KPI owner; ask learners to justify “Choose lead volume only with quality guardrail”; check risk: Vanity engagement masks low-intent traffic.</w:t>
      </w:r>
    </w:p>
    <w:p>
      <w:r>
        <w:t>02 Audience evidence and consent: demonstrate evidence-backed audience segment; ask learners to justify “Reject personas without a source and confidence tag”; check risk: Inferred sensitive traits can breach trust.</w:t>
      </w:r>
    </w:p>
    <w:p>
      <w:r>
        <w:t>03 Customer journey mapping: demonstrate journey-to-content matrix; ask learners to justify “Every stage needs a testable next action”; check risk: A single post cannot serve every intent.</w:t>
      </w:r>
    </w:p>
    <w:p>
      <w:r>
        <w:t>04 Competitive content audit: demonstrate gap and differentiation map; ask learners to justify “Adapt the unmet need, not the competitor wording”; check risk: Copying creative weakens differentiation.</w:t>
      </w:r>
    </w:p>
    <w:p>
      <w:r>
        <w:t>05 Campaign brief and brand voice: demonstrate approved creative brief; ask learners to justify “Approve only claims supported by source facts”; check risk: AI may invent benefits and testimonials.</w:t>
      </w:r>
    </w:p>
    <w:p>
      <w:r>
        <w:t>06 Content pillar allocation: demonstrate four-week pillar mix; ask learners to justify “Rebalance when a pillar misses its intended KPI”; check risk: Posting volume is not a strategy.</w:t>
      </w:r>
    </w:p>
    <w:p>
      <w:r>
        <w:t>07 Prompt specification: demonstrate repeatable prompt template; ask learners to justify “Keep facts and output schema explicit”; check risk: Vague prompts produce generic copy.</w:t>
      </w:r>
    </w:p>
    <w:p>
      <w:r>
        <w:t>08 Source-grounded claim review: demonstrate claim-to-source register; ask learners to justify “Hold unverified comparative or health claims”; check risk: Confident output is not proof.</w:t>
      </w:r>
    </w:p>
    <w:p>
      <w:r>
        <w:t>09 Community advocate plan: demonstrate advocate engagement plan; ask learners to justify “Use consented stories with attribution”; check risk: Incentives can distort authentic reviews.</w:t>
      </w:r>
    </w:p>
    <w:p>
      <w:r>
        <w:t>10 Campaign economics: demonstrate budget guardrail sheet; ask learners to justify “Stop spend above allowable CPA after sufficient evidence”; check risk: ROAS alone ignores margin and fulfillment.</w:t>
      </w:r>
    </w:p>
    <w:p>
      <w:r>
        <w:t>11 Platform feasibility scoring: demonstrate platform selection matrix; ask learners to justify “Pilot only channels above threshold and with owner”; check risk: Popularity is not audience fit.</w:t>
      </w:r>
    </w:p>
    <w:p>
      <w:r>
        <w:t>12 Instagram format choice: demonstrate format-to-CTA map; ask learners to justify “Use motion where demonstration adds evidence”; check risk: Old IGTV guidance is obsolete.</w:t>
      </w:r>
    </w:p>
    <w:p>
      <w:r>
        <w:t>13 Facebook and Instagram roles: demonstrate cross-placement plan; ask learners to justify “Keep creative adapted to placement context”; check risk: Duplicated creative may crop or underperform.</w:t>
      </w:r>
    </w:p>
    <w:p>
      <w:r>
        <w:t>14 LinkedIn B2B feasibility: demonstrate B2B pilot rationale; ask learners to justify “Test only when deal economics support cost”; check risk: Broad consumer hooks may misfit B2B.</w:t>
      </w:r>
    </w:p>
    <w:p>
      <w:r>
        <w:t>15 TikTok short-video feasibility: demonstrate video pilot decision; ask learners to justify “Require native-format proof before budget scale”; check risk: Trend imitation can weaken brand fit.</w:t>
      </w:r>
    </w:p>
    <w:p>
      <w:r>
        <w:t>16 Audience overlap and exclusions: demonstrate channel reach plan; ask learners to justify “Prioritize incremental reach over raw impressions”; check risk: Overlap inflates apparent scale.</w:t>
      </w:r>
    </w:p>
    <w:p>
      <w:r>
        <w:t>17 Local market relevance: demonstrate localization QA sheet; ask learners to justify “Reject unsupported local stereotypes”; check risk: Literal translation misses local context.</w:t>
      </w:r>
    </w:p>
    <w:p>
      <w:r>
        <w:t>18 Opportunity sizing: demonstrate funnel estimate; ask learners to justify “Revise assumptions after pilot evidence”; check risk: AI estimates can appear more precise than data.</w:t>
      </w:r>
    </w:p>
    <w:p>
      <w:r>
        <w:t>19 Platform privacy fit: demonstrate privacy-aware platform decision; ask learners to justify “Avoid activating unconsented personal data”; check risk: Ad targeting can expose private information.</w:t>
      </w:r>
    </w:p>
    <w:p>
      <w:r>
        <w:t>20 Pilot test design: demonstrate channel pilot plan; ask learners to justify “Scale only after threshold and sample check”; check risk: Multiple changes erase causal learning.</w:t>
      </w:r>
    </w:p>
    <w:p>
      <w:r>
        <w:t>21 AI-assisted caption writing: demonstrate caption shortlist; ask learners to justify “Human reviewer checks every fact and tone”; check risk: Invented urgency erodes trust.</w:t>
      </w:r>
    </w:p>
    <w:p>
      <w:r>
        <w:t>22 Hashtag and location strategy: demonstrate tag and location plan; ask learners to justify “Keep only tags tied to intent and geography”; check risk: High-volume tags can attract wrong audience.</w:t>
      </w:r>
    </w:p>
    <w:p>
      <w:r>
        <w:t>23 AI image brief: demonstrate image generation brief; ask learners to justify “Review hands, product fidelity and disclosure need”; check risk: Generated products may misrepresent reality.</w:t>
      </w:r>
    </w:p>
    <w:p>
      <w:r>
        <w:t>24 Short-video storyboard: demonstrate shot-by-shot storyboard; ask learners to justify “Cut scenes that do not advance message”; check risk: Motion without proof produces weak retention.</w:t>
      </w:r>
    </w:p>
    <w:p>
      <w:r>
        <w:t>25 Creative variant matrix: demonstrate six-cell test matrix; ask learners to justify “Test one causal variable per comparison”; check risk: Confounded variants hide what worked.</w:t>
      </w:r>
    </w:p>
    <w:p>
      <w:r>
        <w:t>26 Ad campaign hierarchy: demonstrate editable hierarchy diagram; ask learners to justify “Audit settings at each level before release”; check risk: Wrong objective optimizes the wrong event.</w:t>
      </w:r>
    </w:p>
    <w:p>
      <w:r>
        <w:t>27 Budget and schedule controls: demonstrate flight and pacing plan; ask learners to justify “Pause when spend exceeds guardrail without signals”; check risk: Automation can overspend poor creative.</w:t>
      </w:r>
    </w:p>
    <w:p>
      <w:r>
        <w:t>28 Content calendar orchestration: demonstrate calendar and status board; ask learners to justify “Publish only approved versions”; check risk: Auto-scheduling can propagate errors.</w:t>
      </w:r>
    </w:p>
    <w:p>
      <w:r>
        <w:t>29 UGC rights workflow: demonstrate rights and approval register; ask learners to justify “Archive proof of permission and expiry”; check risk: Public visibility does not grant reuse rights.</w:t>
      </w:r>
    </w:p>
    <w:p>
      <w:r>
        <w:t>30 Community response triage: demonstrate response decision tree; ask learners to justify “Human handles safety, legal and personal issues”; check risk: Bot replies can disclose account data.</w:t>
      </w:r>
    </w:p>
    <w:p>
      <w:r>
        <w:t>31 Tracking event map: demonstrate event and UTM schema; ask learners to justify “Validate event firing with test conversion”; check risk: Pixel fires without consent or wrong event.</w:t>
      </w:r>
    </w:p>
    <w:p>
      <w:r>
        <w:t>32 Metric hierarchy: demonstrate KPI dashboard model; ask learners to justify “Judge campaign on objective metric”; check risk: Likes cannot prove commercial impact.</w:t>
      </w:r>
    </w:p>
    <w:p>
      <w:r>
        <w:t>33 CTR and CPC diagnosis: demonstrate creative efficiency report; ask learners to justify “Refresh hook when CTR falls with stable reach”; check risk: Low CPC can still bring poor leads.</w:t>
      </w:r>
    </w:p>
    <w:p>
      <w:r>
        <w:t>34 CPA and ROAS diagnosis: demonstrate unit economics table; ask learners to justify “Compare with margin-adjusted break-even”; check risk: Attribution may omit offline sales.</w:t>
      </w:r>
    </w:p>
    <w:p>
      <w:r>
        <w:t>35 Frequency and fatigue: demonstrate fatigue alert; ask learners to justify “Rotate creative when frequency rises and CTR falls”; check risk: More impressions may mean saturation.</w:t>
      </w:r>
    </w:p>
    <w:p>
      <w:r>
        <w:t>36 A/B test interpretation: demonstrate test decision memo; ask learners to justify “Do not crown a winner on tiny samples”; check risk: Peeking can create false confidence.</w:t>
      </w:r>
    </w:p>
    <w:p>
      <w:r>
        <w:t>37 AI-assisted report narrative: demonstrate reviewed weekly insight memo; ask learners to justify “Every statement must trace to data cell”; check risk: AI can invent causality from correlation.</w:t>
      </w:r>
    </w:p>
    <w:p>
      <w:r>
        <w:t>38 Retargeting eligibility: demonstrate retargeting policy; ask learners to justify “Exclude converters and honor consent changes”; check risk: Persistent targeting can feel intrusive.</w:t>
      </w:r>
    </w:p>
    <w:p>
      <w:r>
        <w:t>39 Budget reallocation: demonstrate reallocation decision; ask learners to justify “Reserve a test budget and cap downside”; check risk: Optimizing solely to ROAS may starve discovery.</w:t>
      </w:r>
    </w:p>
    <w:p>
      <w:r>
        <w:t>40 Organisational impact review: demonstrate impact scorecard; ask learners to justify “Adopt only with measured quality and governance”; check risk: Speed gains can hide review burden.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