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Creating Professional Graphics with Adobe Illustrator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TGS-2021003160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trainer slide source and two-day delivery plan.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16-hour plan aligned to v11 slides, ten Illustrator/vector labs and the approved 60-minute WA plus 90-minute PP.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F2937"/>
          <w:sz w:val="24"/>
        </w:rPr>
        <w:t>TABLE OF CONTENTS</w:t>
      </w:r>
    </w:p>
    <w:p>
      <w:pPr>
        <w:spacing w:after="100"/>
        <w:ind w:left="0"/>
      </w:pPr>
      <w:r>
        <w:rPr>
          <w:b/>
          <w:sz w:val="21"/>
        </w:rPr>
        <w:t>Course Information</w:t>
      </w:r>
    </w:p>
    <w:p>
      <w:pPr>
        <w:spacing w:after="100"/>
        <w:ind w:left="0"/>
      </w:pPr>
      <w:r>
        <w:rPr>
          <w:b/>
          <w:sz w:val="21"/>
        </w:rPr>
        <w:t>Learning Outcomes</w:t>
      </w:r>
    </w:p>
    <w:p>
      <w:pPr>
        <w:spacing w:after="100"/>
        <w:ind w:left="0"/>
      </w:pPr>
      <w:r>
        <w:rPr>
          <w:b/>
          <w:sz w:val="21"/>
        </w:rPr>
        <w:t>Assessment</w:t>
      </w:r>
    </w:p>
    <w:p>
      <w:pPr>
        <w:spacing w:after="100"/>
        <w:ind w:left="0"/>
      </w:pPr>
      <w:r>
        <w:rPr>
          <w:b/>
          <w:sz w:val="21"/>
        </w:rPr>
        <w:t>Two-Day Schedule</w:t>
      </w:r>
    </w:p>
    <w:p>
      <w:pPr>
        <w:spacing w:after="100"/>
        <w:ind w:left="403"/>
      </w:pPr>
      <w:r>
        <w:rPr>
          <w:b w:val="0"/>
          <w:sz w:val="20"/>
        </w:rPr>
        <w:t>Day 1</w:t>
      </w:r>
    </w:p>
    <w:p>
      <w:pPr>
        <w:spacing w:after="100"/>
        <w:ind w:left="403"/>
      </w:pPr>
      <w:r>
        <w:rPr>
          <w:b w:val="0"/>
          <w:sz w:val="20"/>
        </w:rPr>
        <w:t>Day 2</w:t>
      </w:r>
    </w:p>
    <w:p>
      <w:pPr>
        <w:spacing w:after="100"/>
        <w:ind w:left="0"/>
      </w:pPr>
      <w:r>
        <w:rPr>
          <w:b/>
          <w:sz w:val="21"/>
        </w:rPr>
        <w:t>Lab Alignment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title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Creating Professional Graphics with Adobe Illustrator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Course code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TGS-2021003160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TSC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Digital Image Production · RET-DNI-4003-1.1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Duration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2 days · 16 hours, including 2.5 hours of 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Delivery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7.5 hours classroom facilitation + 6 hours practical/practicum + 2.5 hours assessment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Provider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Tertiary Infotech Academy Pte Ltd · UEN: 201200696W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r>
              <w:rPr>
                <w:sz w:val="19"/>
              </w:rPr>
              <w:t>Version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v11 · 21 August 2026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Apply basic Illustrator techniques for digital graphics.</w:t>
      </w:r>
    </w:p>
    <w:p>
      <w:pPr>
        <w:pStyle w:val="ListBullet"/>
      </w:pPr>
      <w:r>
        <w:t>LO2: Improve Illustrator techniques through experimentation.</w:t>
      </w:r>
    </w:p>
    <w:p>
      <w:pPr>
        <w:pStyle w:val="ListBullet"/>
      </w:pPr>
      <w:r>
        <w:t>LO3: Evaluate and output digital graphics.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(WA/SAQ) — 6 open-ended questions covering K1–K6, 60 minutes, open book.</w:t>
      </w:r>
    </w:p>
    <w:p>
      <w:pPr>
        <w:pStyle w:val="ListBullet"/>
      </w:pPr>
      <w:r>
        <w:t>Practical Performance (PP) — 3 tasks covering A1, A2, and A3/A4, 90 minutes, open book.</w:t>
      </w:r>
    </w:p>
    <w:p>
      <w:pPr>
        <w:pStyle w:val="ListBullet"/>
      </w:pPr>
      <w:r>
        <w:t>Candidates must be assessed as Competent for every applicable ability and knowledge criterion.</w:t>
      </w:r>
    </w:p>
    <w:p>
      <w:pPr>
        <w:pStyle w:val="Heading1"/>
      </w:pPr>
      <w:r>
        <w:t>Two-Day Schedule</w:t>
      </w:r>
    </w:p>
    <w:p>
      <w:pPr>
        <w:pStyle w:val="Heading2"/>
      </w:pPr>
      <w:r>
        <w:t>Day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09:30–10:00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Welcome, AM attendance, introductions, ground rules and course-material download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1–7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10:00–10:45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45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Vector foundations, workspace, artboards, selection and live shapes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18–40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10:45–11:00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11:00–13:00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Workspace, selection, shapes and transforms; Labs 1–2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1–2: slides 36, 37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13:00–14:00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14:00–15:30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1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Colour, strokes, layers, groups and alignment; Labs 3–4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3–4: slides 38, 39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15:30–15:45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15:45–17:30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105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 + Lab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Construction, Pathfinder, Shape Builder and masks; Lab 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2: slides 41–65 · Lab 5: slide 65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17:30–18:00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Lab + Recap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Pen, Curvature, Pencil and brush comparison; Lab 6 and PM attendance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 6: slide 66</w:t>
            </w:r>
          </w:p>
        </w:tc>
      </w:tr>
    </w:tbl>
    <w:p>
      <w:r>
        <w:br w:type="page"/>
      </w:r>
    </w:p>
    <w:p>
      <w:pPr>
        <w:pStyle w:val="Heading2"/>
      </w:pPr>
      <w:r>
        <w:t>Day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893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037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410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Activity</w:t>
            </w:r>
          </w:p>
        </w:tc>
        <w:tc>
          <w:tcPr>
            <w:tcW w:type="dxa" w:w="2088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 / Evidence Reference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09:30–09:45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AM attendance and Day 1 recap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 2 + trainer-led recap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09:45–10:45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Gradients, patterns, symbols, appearance and typography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2: slides 41–69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10:45–11:00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Break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Tea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11:00–13:00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120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2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Reusable systems, appearance and typography; Labs 7–8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Labs 7–8: slides 67, 68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13:00–14:00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Lunch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Lunch break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14:00–15:45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105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Topic 3 + Labs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Image Trace, artboards, export, capstone handoff and peer review; Labs 9–10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Topic 3: slides 70–92 · Labs 9–10: slides 87, 88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15:45–16:15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30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Synthesis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Course recap, assessment briefing and transition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89–94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16:15–17:15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60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Assessment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Written Assessment (WA/SAQ), open book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6 questions · K1–K6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17:15–18:45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90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Assessment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Practical Performance (PP), open book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3 tasks · A1, A2, A3/A4</w:t>
            </w:r>
          </w:p>
        </w:tc>
      </w:tr>
      <w:tr>
        <w:trPr>
          <w:cantSplit/>
        </w:trPr>
        <w:tc>
          <w:tcPr>
            <w:tcW w:type="dxa" w:w="1037"/>
            <w:vAlign w:val="center"/>
          </w:tcPr>
          <w:p>
            <w:r>
              <w:rPr>
                <w:sz w:val="19"/>
              </w:rPr>
              <w:t>18:45–19:00</w:t>
            </w:r>
          </w:p>
        </w:tc>
        <w:tc>
          <w:tcPr>
            <w:tcW w:type="dxa" w:w="893"/>
            <w:vAlign w:val="center"/>
          </w:tcPr>
          <w:p>
            <w:r>
              <w:rPr>
                <w:sz w:val="19"/>
              </w:rPr>
              <w:t>15 min</w:t>
            </w:r>
          </w:p>
        </w:tc>
        <w:tc>
          <w:tcPr>
            <w:tcW w:type="dxa" w:w="1037"/>
            <w:vAlign w:val="center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104"/>
            <w:vAlign w:val="center"/>
          </w:tcPr>
          <w:p>
            <w:r>
              <w:rPr>
                <w:sz w:val="19"/>
              </w:rPr>
              <w:t>Assessment attendance, feedback and close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9"/>
              </w:rPr>
              <w:t>Slides 95–99</w:t>
            </w:r>
          </w:p>
        </w:tc>
      </w:tr>
    </w:tbl>
    <w:p>
      <w:r>
        <w:br w:type="page"/>
      </w:r>
    </w:p>
    <w:p>
      <w:pPr>
        <w:pStyle w:val="Heading1"/>
      </w:pPr>
      <w:r>
        <w:t>Lab Alignment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232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1944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Topic / Outcome</w:t>
            </w:r>
          </w:p>
        </w:tc>
        <w:tc>
          <w:tcPr>
            <w:tcW w:type="dxa" w:w="7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Slide</w:t>
            </w:r>
          </w:p>
        </w:tc>
        <w:tc>
          <w:tcPr>
            <w:tcW w:type="dxa" w:w="4320"/>
            <w:shd w:val="clear" w:color="auto" w:fill="224AF4"/>
          </w:tcPr>
          <w:p>
            <w:r>
              <w:rPr>
                <w:b/>
                <w:color w:val="FFFFFF"/>
                <w:sz w:val="19"/>
              </w:rPr>
              <w:t>Key acceptance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01: Workspace, Artboards and Selection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 · A1 · K1 · K2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Two correctly named artboards are present.; Only intended objects or anchors changed.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02: Shapes, Lines and Transform Systems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 · A1 · K1 · K2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Live shapes remain editable where practical.; Spacing and alignment are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03: Colour Systems, Swatches and Strokes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 · A1 · K1 · K2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Colour modes match the named outputs.; Repeated colours use named swatches.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04: Layers, Groups and Alignment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1 · LO1 · A1 · K1 · K2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39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No generic or ambiguous layer names remain.; Stacking order matches the intended design.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05: Pathfinder, Shape Builder and Masks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A2 · K3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65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final badge has clean, intentional geometry.; The chosen construction remains editable.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06: Pen, Curvature, Pencil and Brushes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A2 · K3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66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Curves are smooth and economical.; Corner points appear only where intended.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07: Gradients, Patterns and Symbols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A2 · K3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selected gradient supports the intended hierarchy.; The pattern has no visible seams.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08: Appearance, Graphic Styles and Typography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2 · LO2 · A2 · K3 · K4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68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No overset or missing-font warning remains.; Hierarchy is clear at delivery size.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09: Image Trace, Artboards and Export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 · A3 · A4 · K5 · K6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87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trace has acceptable fidelity and manageable path complexity.; Artboards are correctly named and sized.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sz w:val="19"/>
              </w:rPr>
              <w:t>Lab 10: Brand System Capstone, Handoff and Peer Review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9"/>
              </w:rPr>
              <w:t>Topic 3 · LO3 · A3 · A4 · K5 · K6</w:t>
            </w:r>
          </w:p>
        </w:tc>
        <w:tc>
          <w:tcPr>
            <w:tcW w:type="dxa" w:w="720"/>
            <w:vAlign w:val="center"/>
          </w:tcPr>
          <w:p>
            <w:r>
              <w:rPr>
                <w:sz w:val="19"/>
              </w:rPr>
              <w:t>88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9"/>
              </w:rPr>
              <w:t>The brand system is visually consistent across four deliverables.; One comparison and one peer-led revision are documented.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