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/>
          <w:b/>
          <w:color w:val="161B26"/>
          <w:sz w:val="26"/>
        </w:rPr>
        <w:t>Tertiary Infotech Academy Pte Ltd</w:t>
      </w:r>
    </w:p>
    <w:p>
      <w:pPr>
        <w:spacing w:after="400"/>
        <w:jc w:val="center"/>
      </w:pPr>
      <w:r>
        <w:rPr>
          <w:rFonts w:ascii="Arial" w:hAnsi="Arial"/>
          <w:b w:val="0"/>
          <w:color w:val="5B6372"/>
          <w:sz w:val="20"/>
        </w:rPr>
        <w:t>UEN: 201200696W</w:t>
      </w:r>
    </w:p>
    <w:p>
      <w:pPr>
        <w:spacing w:after="160"/>
        <w:jc w:val="center"/>
      </w:pPr>
      <w:r>
        <w:rPr>
          <w:rFonts w:ascii="Arial" w:hAnsi="Arial"/>
          <w:b/>
          <w:color w:val="1F6FEB"/>
          <w:sz w:val="50"/>
        </w:rPr>
        <w:t>LESSON PLAN</w:t>
      </w:r>
    </w:p>
    <w:p>
      <w:pPr>
        <w:spacing w:after="160"/>
        <w:jc w:val="center"/>
      </w:pPr>
      <w:r>
        <w:rPr>
          <w:rFonts w:ascii="Arial" w:hAnsi="Arial"/>
          <w:b w:val="0"/>
          <w:color w:val="5B6372"/>
          <w:sz w:val="22"/>
        </w:rPr>
        <w:t>For</w:t>
      </w:r>
    </w:p>
    <w:p>
      <w:pPr>
        <w:spacing w:after="240"/>
        <w:jc w:val="center"/>
      </w:pPr>
      <w:r>
        <w:rPr>
          <w:rFonts w:ascii="Arial" w:hAnsi="Arial"/>
          <w:b/>
          <w:color w:val="161B26"/>
          <w:sz w:val="40"/>
        </w:rPr>
        <w:t>Product Design with Autodesk Inventor</w:t>
      </w:r>
    </w:p>
    <w:p>
      <w:pPr>
        <w:spacing w:after="440"/>
        <w:jc w:val="center"/>
      </w:pPr>
      <w:r>
        <w:rPr>
          <w:rFonts w:ascii="Arial" w:hAnsi="Arial"/>
          <w:b w:val="0"/>
          <w:color w:val="5B6372"/>
          <w:sz w:val="22"/>
        </w:rPr>
        <w:t>TGS Ref No: TGS-2021006715</w:t>
      </w:r>
    </w:p>
    <w:p>
      <w:pPr>
        <w:spacing w:after="160"/>
        <w:jc w:val="center"/>
      </w:pPr>
      <w:r>
        <w:rPr>
          <w:rFonts w:ascii="Arial" w:hAnsi="Arial"/>
          <w:b w:val="0"/>
          <w:color w:val="5B6372"/>
          <w:sz w:val="22"/>
        </w:rPr>
        <w:t>Conducted by</w:t>
      </w:r>
    </w:p>
    <w:p>
      <w:pPr>
        <w:spacing w:after="80"/>
        <w:jc w:val="center"/>
      </w:pPr>
      <w:r>
        <w:rPr>
          <w:rFonts w:ascii="Arial" w:hAnsi="Arial"/>
          <w:b/>
          <w:color w:val="161B26"/>
          <w:sz w:val="26"/>
        </w:rPr>
        <w:t>Tertiary Infotech Academy Pte Ltd</w:t>
      </w:r>
    </w:p>
    <w:p>
      <w:pPr>
        <w:spacing w:after="0"/>
        <w:jc w:val="center"/>
      </w:pPr>
      <w:r>
        <w:rPr>
          <w:rFonts w:ascii="Arial" w:hAnsi="Arial"/>
          <w:b/>
          <w:color w:val="108A73"/>
          <w:sz w:val="22"/>
        </w:rPr>
        <w:t>Version 9.0 · 20 August 2026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F6FE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Version Number</w:t>
            </w:r>
          </w:p>
        </w:tc>
        <w:tc>
          <w:tcPr>
            <w:tcW w:type="dxa" w:w="2541"/>
            <w:shd w:fill="1F6FE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Effective Date of Release</w:t>
            </w:r>
          </w:p>
        </w:tc>
        <w:tc>
          <w:tcPr>
            <w:tcW w:type="dxa" w:w="2541"/>
            <w:shd w:fill="1F6FE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Summary of Included Changes</w:t>
            </w:r>
          </w:p>
        </w:tc>
        <w:tc>
          <w:tcPr>
            <w:tcW w:type="dxa" w:w="2541"/>
            <w:shd w:fill="1F6FE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Author</w:t>
            </w:r>
          </w:p>
        </w:tc>
      </w:tr>
      <w:tr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</w:tcPr>
          <w:p>
            <w:r>
              <w:rPr>
                <w:rFonts w:ascii="Arial" w:hAnsi="Arial"/>
                <w:sz w:val="17"/>
              </w:rPr>
              <w:t>8.0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</w:tcPr>
          <w:p>
            <w:r>
              <w:rPr>
                <w:rFonts w:ascii="Arial" w:hAnsi="Arial"/>
                <w:sz w:val="17"/>
              </w:rPr>
              <w:t>16 July 2026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</w:tcPr>
          <w:p>
            <w:r>
              <w:rPr>
                <w:rFonts w:ascii="Arial" w:hAnsi="Arial"/>
                <w:sz w:val="17"/>
              </w:rPr>
              <w:t>Legacy trainer deck and existing delivery materials.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  <w:shd w:fill="F5F8FC"/>
          </w:tcPr>
          <w:p>
            <w:r>
              <w:rPr>
                <w:rFonts w:ascii="Arial" w:hAnsi="Arial"/>
                <w:sz w:val="17"/>
              </w:rPr>
              <w:t>Tertiary Infotech Academy</w:t>
            </w:r>
          </w:p>
        </w:tc>
      </w:tr>
      <w:tr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sz w:val="17"/>
              </w:rPr>
              <w:t>9.0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sz w:val="17"/>
              </w:rPr>
              <w:t>20 August 2026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sz w:val="17"/>
              </w:rPr>
              <w:t>Rebuilt visual courseware, detailed Lesson Plan, eight progressive labs, native charts and aligned assessments.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sz w:val="17"/>
              </w:rPr>
              <w:t>Dr. Alfred Ang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856"/>
        <w:gridCol w:w="792"/>
      </w:tblGrid>
      <w:tr>
        <w:tc>
          <w:tcPr>
            <w:tcW w:type="dxa" w:w="8856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Arial" w:hAnsi="Arial"/>
                <w:b/>
                <w:color w:val="161B26"/>
                <w:sz w:val="21"/>
              </w:rPr>
              <w:t>Course Overview</w:t>
            </w:r>
          </w:p>
        </w:tc>
        <w:tc>
          <w:tcPr>
            <w:tcW w:type="dxa" w:w="792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61B26"/>
                <w:sz w:val="21"/>
              </w:rPr>
              <w:t>4</w:t>
            </w:r>
          </w:p>
        </w:tc>
      </w:tr>
      <w:tr>
        <w:tc>
          <w:tcPr>
            <w:tcW w:type="dxa" w:w="8856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Arial" w:hAnsi="Arial"/>
                <w:b w:val="0"/>
                <w:color w:val="5B6372"/>
                <w:sz w:val="21"/>
              </w:rPr>
              <w:t>Learning Outcomes</w:t>
            </w:r>
          </w:p>
        </w:tc>
        <w:tc>
          <w:tcPr>
            <w:tcW w:type="dxa" w:w="792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5B6372"/>
                <w:sz w:val="21"/>
              </w:rPr>
              <w:t>4</w:t>
            </w:r>
          </w:p>
        </w:tc>
      </w:tr>
      <w:tr>
        <w:tc>
          <w:tcPr>
            <w:tcW w:type="dxa" w:w="8856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Arial" w:hAnsi="Arial"/>
                <w:b/>
                <w:color w:val="161B26"/>
                <w:sz w:val="21"/>
              </w:rPr>
              <w:t>Daily Schedule</w:t>
            </w:r>
          </w:p>
        </w:tc>
        <w:tc>
          <w:tcPr>
            <w:tcW w:type="dxa" w:w="792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61B26"/>
                <w:sz w:val="21"/>
              </w:rPr>
              <w:t>4</w:t>
            </w:r>
          </w:p>
        </w:tc>
      </w:tr>
      <w:tr>
        <w:tc>
          <w:tcPr>
            <w:tcW w:type="dxa" w:w="8856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Arial" w:hAnsi="Arial"/>
                <w:b w:val="0"/>
                <w:color w:val="5B6372"/>
                <w:sz w:val="21"/>
              </w:rPr>
              <w:t>Topic-by-Topic Delivery Notes</w:t>
            </w:r>
          </w:p>
        </w:tc>
        <w:tc>
          <w:tcPr>
            <w:tcW w:type="dxa" w:w="792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5B6372"/>
                <w:sz w:val="21"/>
              </w:rPr>
              <w:t>5</w:t>
            </w:r>
          </w:p>
        </w:tc>
      </w:tr>
      <w:tr>
        <w:tc>
          <w:tcPr>
            <w:tcW w:type="dxa" w:w="8856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Arial" w:hAnsi="Arial"/>
                <w:b w:val="0"/>
                <w:color w:val="5B6372"/>
                <w:sz w:val="21"/>
              </w:rPr>
              <w:t>Resources Required</w:t>
            </w:r>
          </w:p>
        </w:tc>
        <w:tc>
          <w:tcPr>
            <w:tcW w:type="dxa" w:w="792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5B6372"/>
                <w:sz w:val="21"/>
              </w:rPr>
              <w:t>10</w:t>
            </w:r>
          </w:p>
        </w:tc>
      </w:tr>
      <w:tr>
        <w:tc>
          <w:tcPr>
            <w:tcW w:type="dxa" w:w="8856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Arial" w:hAnsi="Arial"/>
                <w:b w:val="0"/>
                <w:color w:val="5B6372"/>
                <w:sz w:val="21"/>
              </w:rPr>
              <w:t>Assessment</w:t>
            </w:r>
          </w:p>
        </w:tc>
        <w:tc>
          <w:tcPr>
            <w:tcW w:type="dxa" w:w="792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5B6372"/>
                <w:sz w:val="21"/>
              </w:rPr>
              <w:t>10</w:t>
            </w:r>
          </w:p>
        </w:tc>
      </w:tr>
    </w:tbl>
    <w:p>
      <w:r>
        <w:br w:type="page"/>
      </w:r>
    </w:p>
    <w:p>
      <w:pPr>
        <w:pStyle w:val="Heading1"/>
      </w:pPr>
      <w:r>
        <w:t>Course Overview</w:t>
      </w:r>
    </w:p>
    <w:p>
      <w:r>
        <w:t>A two-day, 16-hour WSQ course aligned to Computer-Aided Design (PRE-DES-4036-1.1). Learners progress from design intent and parametric parts through assemblies, weldments, manufacturing drawings, presentation, automation and final design review.</w:t>
      </w:r>
    </w:p>
    <w:p>
      <w:pPr>
        <w:pStyle w:val="Heading1"/>
      </w:pPr>
      <w:r>
        <w:t>Learning Outcomes</w:t>
      </w:r>
    </w:p>
    <w:p>
      <w:pPr>
        <w:pStyle w:val="ListBullet"/>
        <w:spacing w:after="40"/>
      </w:pPr>
      <w:r>
        <w:t>LO1: Conceptualise and generate machine parts using Autodesk Inventor.</w:t>
      </w:r>
    </w:p>
    <w:p>
      <w:pPr>
        <w:pStyle w:val="ListBullet"/>
        <w:spacing w:after="40"/>
      </w:pPr>
      <w:r>
        <w:t>LO2: Generate CAD models using Autodesk Inventor.</w:t>
      </w:r>
    </w:p>
    <w:p>
      <w:pPr>
        <w:pStyle w:val="ListBullet"/>
        <w:spacing w:after="40"/>
      </w:pPr>
      <w:r>
        <w:t>LO3: Produce assemblies using Autodesk Inventor.</w:t>
      </w:r>
    </w:p>
    <w:p>
      <w:pPr>
        <w:pStyle w:val="ListBullet"/>
        <w:spacing w:after="40"/>
      </w:pPr>
      <w:r>
        <w:t>LO4: Connect and prepare assemblies for welding.</w:t>
      </w:r>
    </w:p>
    <w:p>
      <w:pPr>
        <w:pStyle w:val="ListBullet"/>
        <w:spacing w:after="40"/>
      </w:pPr>
      <w:r>
        <w:t>LO5: Produce detailed drawings for machine parts.</w:t>
      </w:r>
    </w:p>
    <w:p>
      <w:pPr>
        <w:pStyle w:val="ListBullet"/>
        <w:spacing w:after="40"/>
      </w:pPr>
      <w:r>
        <w:t>LO6: Review final designs for automation and improvement.</w:t>
      </w:r>
    </w:p>
    <w:p>
      <w:pPr>
        <w:pStyle w:val="Heading1"/>
      </w:pPr>
      <w:r>
        <w:t>Daily Schedule</w:t>
      </w:r>
    </w:p>
    <w:p>
      <w:pPr>
        <w:pStyle w:val="Heading2"/>
      </w:pPr>
      <w:r>
        <w:t>Day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1F6FEB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2033"/>
            <w:shd w:fill="1F6FEB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2033"/>
            <w:shd w:fill="1F6FEB"/>
          </w:tcPr>
          <w:p>
            <w:r>
              <w:rPr>
                <w:b/>
                <w:color w:val="FFFFFF"/>
              </w:rPr>
              <w:t>Topic / Activity</w:t>
            </w:r>
          </w:p>
        </w:tc>
        <w:tc>
          <w:tcPr>
            <w:tcW w:type="dxa" w:w="2033"/>
            <w:shd w:fill="1F6FEB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033"/>
            <w:shd w:fill="1F6FEB"/>
          </w:tcPr>
          <w:p>
            <w:r>
              <w:rPr>
                <w:b/>
                <w:color w:val="FFFFFF"/>
              </w:rPr>
              <w:t>Slides</w:t>
            </w:r>
          </w:p>
        </w:tc>
      </w:tr>
      <w:tr>
        <w:trPr>
          <w:cantSplit/>
        </w:trPr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9:00–9:30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30 min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Administration, digital attendance, introductions and assessment briefing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Facilitation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Slides 1–15</w:t>
            </w:r>
          </w:p>
        </w:tc>
      </w:tr>
      <w:tr>
        <w:trPr>
          <w:cantSplit/>
        </w:trPr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9:30–10:30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60 min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Topic 1 — Generate Machine Parts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Concepts, demonstration and review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Slides 16–28</w:t>
            </w:r>
          </w:p>
        </w:tc>
      </w:tr>
      <w:tr>
        <w:trPr>
          <w:cantSplit/>
        </w:trPr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10:30–10:40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10 min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Tea break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Break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—</w:t>
            </w:r>
          </w:p>
        </w:tc>
      </w:tr>
      <w:tr>
        <w:trPr>
          <w:cantSplit/>
        </w:trPr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10:40–12:15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95 min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Lab 1 — Design Brief to Parametric Base Part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Hands-on lab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Slide 27</w:t>
            </w:r>
          </w:p>
        </w:tc>
      </w:tr>
      <w:tr>
        <w:trPr>
          <w:cantSplit/>
        </w:trPr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12:15–1:15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60 min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Lunch break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Break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—</w:t>
            </w:r>
          </w:p>
        </w:tc>
      </w:tr>
      <w:tr>
        <w:trPr>
          <w:cantSplit/>
        </w:trPr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1:15–2:25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70 min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Topic 2 — Generate CAD Models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Concepts, demonstration and review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Slides 29–41</w:t>
            </w:r>
          </w:p>
        </w:tc>
      </w:tr>
      <w:tr>
        <w:trPr>
          <w:cantSplit/>
        </w:trPr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2:25–3:45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80 min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Lab 2 — Advanced Part, Sheet Metal and Orthographic Review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Hands-on lab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Slide 40</w:t>
            </w:r>
          </w:p>
        </w:tc>
      </w:tr>
      <w:tr>
        <w:trPr>
          <w:cantSplit/>
        </w:trPr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3:45–3:55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10 min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Tea break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Break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—</w:t>
            </w:r>
          </w:p>
        </w:tc>
      </w:tr>
      <w:tr>
        <w:trPr>
          <w:cantSplit/>
        </w:trPr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3:55–4:45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50 min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Topic 3 — Assembly Modeling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Concepts and demonstration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Slides 42–55</w:t>
            </w:r>
          </w:p>
        </w:tc>
      </w:tr>
      <w:tr>
        <w:trPr>
          <w:cantSplit/>
        </w:trPr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4:45–5:35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50 min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Labs 3–4 — Bottom-up and top-down assemblies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Hands-on lab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Slides 53 and 54</w:t>
            </w:r>
          </w:p>
        </w:tc>
      </w:tr>
      <w:tr>
        <w:trPr>
          <w:cantSplit/>
        </w:trPr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5:35–6:00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25 min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Day 1 integration, evidence check and PM attendance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Review and Q&amp;A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Slide 55</w:t>
            </w:r>
          </w:p>
        </w:tc>
      </w:tr>
    </w:tbl>
    <w:p>
      <w:pPr>
        <w:pStyle w:val="Heading2"/>
      </w:pPr>
      <w:r>
        <w:t>Day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1F6FEB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2033"/>
            <w:shd w:fill="1F6FEB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2033"/>
            <w:shd w:fill="1F6FEB"/>
          </w:tcPr>
          <w:p>
            <w:r>
              <w:rPr>
                <w:b/>
                <w:color w:val="FFFFFF"/>
              </w:rPr>
              <w:t>Topic / Activity</w:t>
            </w:r>
          </w:p>
        </w:tc>
        <w:tc>
          <w:tcPr>
            <w:tcW w:type="dxa" w:w="2033"/>
            <w:shd w:fill="1F6FEB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033"/>
            <w:shd w:fill="1F6FEB"/>
          </w:tcPr>
          <w:p>
            <w:r>
              <w:rPr>
                <w:b/>
                <w:color w:val="FFFFFF"/>
              </w:rPr>
              <w:t>Slides</w:t>
            </w:r>
          </w:p>
        </w:tc>
      </w:tr>
      <w:tr>
        <w:trPr>
          <w:cantSplit/>
        </w:trPr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9:00–9:15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15 min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Day 1 recap and AM digital attendance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Review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—</w:t>
            </w:r>
          </w:p>
        </w:tc>
      </w:tr>
      <w:tr>
        <w:trPr>
          <w:cantSplit/>
        </w:trPr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9:15–10:30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75 min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Topic 4 and Lab 5 — Weldments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Concepts, demonstration and lab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Slides 56–68 · Lab 67</w:t>
            </w:r>
          </w:p>
        </w:tc>
      </w:tr>
      <w:tr>
        <w:trPr>
          <w:cantSplit/>
        </w:trPr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10:30–10:40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10 min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Tea break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Break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—</w:t>
            </w:r>
          </w:p>
        </w:tc>
      </w:tr>
      <w:tr>
        <w:trPr>
          <w:cantSplit/>
        </w:trPr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10:40–12:15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95 min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Topic 5 and Lab 6 — Deliverables and GD&amp;T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Concepts, demonstration and lab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Slides 69–81 · Lab 80</w:t>
            </w:r>
          </w:p>
        </w:tc>
      </w:tr>
      <w:tr>
        <w:trPr>
          <w:cantSplit/>
        </w:trPr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12:15–1:15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60 min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Lunch break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Break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—</w:t>
            </w:r>
          </w:p>
        </w:tc>
      </w:tr>
      <w:tr>
        <w:trPr>
          <w:cantSplit/>
        </w:trPr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1:15–2:25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70 min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Topic 6 and Lab 7 — Presentation and animation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Concepts, demonstration and lab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Slides 82–95 · Lab 93</w:t>
            </w:r>
          </w:p>
        </w:tc>
      </w:tr>
      <w:tr>
        <w:trPr>
          <w:cantSplit/>
        </w:trPr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2:25–2:35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10 min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Tea break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Break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—</w:t>
            </w:r>
          </w:p>
        </w:tc>
      </w:tr>
      <w:tr>
        <w:trPr>
          <w:cantSplit/>
        </w:trPr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2:35–3:20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45 min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Lab 8, final review and course summary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Hands-on lab and review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Slide 94 onward</w:t>
            </w:r>
          </w:p>
        </w:tc>
      </w:tr>
      <w:tr>
        <w:trPr>
          <w:cantSplit/>
        </w:trPr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3:20–3:30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10 min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Assessment briefing and digital attendance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Assessment administration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—</w:t>
            </w:r>
          </w:p>
        </w:tc>
      </w:tr>
      <w:tr>
        <w:trPr>
          <w:cantSplit/>
        </w:trPr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3:30–4:30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60 min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Written Assessment (WA-SAQ)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Open-book assessment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—</w:t>
            </w:r>
          </w:p>
        </w:tc>
      </w:tr>
      <w:tr>
        <w:trPr>
          <w:cantSplit/>
        </w:trPr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4:30–6:00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90 min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Practical Performance Assessment (PP)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Individual practical assessment</w:t>
            </w:r>
          </w:p>
        </w:tc>
        <w:tc>
          <w:tcPr>
            <w:tcW w:type="dxa" w:w="20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—</w:t>
            </w:r>
          </w:p>
        </w:tc>
      </w:tr>
    </w:tbl>
    <w:p>
      <w:pPr>
        <w:pStyle w:val="Heading1"/>
      </w:pPr>
      <w:r>
        <w:t>Topic-by-Topic Delivery Notes</w:t>
      </w:r>
    </w:p>
    <w:p>
      <w:pPr>
        <w:pStyle w:val="Heading2"/>
      </w:pPr>
      <w:r>
        <w:t>Topic 1 — Generate Machine Parts · Slides 16–28</w:t>
      </w:r>
    </w:p>
    <w:p>
      <w:r>
        <w:t>Design intent · projects and files · constrained sketches · standard part features</w:t>
      </w:r>
    </w:p>
    <w:p>
      <w:pPr>
        <w:pStyle w:val="ListBullet"/>
        <w:spacing w:after="40"/>
      </w:pPr>
      <w:r>
        <w:t>Design begins with function: Translate load, motion, envelope, interface, safety and service needs into measurable acceptance criteria.</w:t>
      </w:r>
    </w:p>
    <w:p>
      <w:pPr>
        <w:pStyle w:val="ListBullet"/>
        <w:spacing w:after="40"/>
      </w:pPr>
      <w:r>
        <w:t>The Inventor file ecosystem: IPT parts feed IAM assemblies; IPN presentations explain assembly; IDW/DWG drawings release manufacturing intent.</w:t>
      </w:r>
    </w:p>
    <w:p>
      <w:pPr>
        <w:pStyle w:val="ListBullet"/>
        <w:spacing w:after="40"/>
      </w:pPr>
      <w:r>
        <w:t>Projects resolve references: An IPJ defines workspace, libraries, templates and Content Center locations so dependent files stay discoverable.</w:t>
      </w:r>
    </w:p>
    <w:p>
      <w:pPr>
        <w:pStyle w:val="ListBullet"/>
        <w:spacing w:after="40"/>
      </w:pPr>
      <w:r>
        <w:t>Coordinate systems anchor intent: Origin planes, axes, points and user work features give sketches stable references that survive change.</w:t>
      </w:r>
    </w:p>
    <w:p>
      <w:pPr>
        <w:pStyle w:val="ListBullet"/>
        <w:spacing w:after="40"/>
      </w:pPr>
      <w:r>
        <w:t>Sketch geometry is not design intent: Lines and arcs describe shape; geometric constraints describe behaviour; dimensions describe size and position.</w:t>
      </w:r>
    </w:p>
    <w:p>
      <w:pPr>
        <w:pStyle w:val="ListBullet"/>
        <w:spacing w:after="40"/>
      </w:pPr>
      <w:r>
        <w:t>Fully constrained is predictable: Remove unintended degrees of freedom without over-constraining; test by dragging before leaving the sketch.</w:t>
      </w:r>
    </w:p>
    <w:p>
      <w:pPr>
        <w:pStyle w:val="ListBullet"/>
        <w:spacing w:after="40"/>
      </w:pPr>
      <w:r>
        <w:t>Parameters make change deliberate: Meaningful names, equations and units turn dimensions into a controllable design system.</w:t>
      </w:r>
    </w:p>
    <w:p>
      <w:pPr>
        <w:pStyle w:val="ListBullet"/>
        <w:spacing w:after="40"/>
      </w:pPr>
      <w:r>
        <w:t>Choose the right base feature: Extrude prismatic forms, revolve axisymmetric forms, sweep a profile along a path, and loft between sections.</w:t>
      </w:r>
    </w:p>
    <w:p>
      <w:pPr>
        <w:pStyle w:val="ListBullet"/>
        <w:spacing w:after="40"/>
      </w:pPr>
      <w:r>
        <w:t>Placed features carry manufacturing logic: Hole, thread, fillet, chamfer, rib and shell encode operations and functional details.</w:t>
      </w:r>
    </w:p>
    <w:p>
      <w:pPr>
        <w:pStyle w:val="ListBullet"/>
        <w:spacing w:after="40"/>
      </w:pPr>
      <w:r>
        <w:t>Feature order affects resilience: Build stable primary form first, functional cuts next, then finishing features such as fillets and chamfers.</w:t>
      </w:r>
    </w:p>
    <w:p>
      <w:pPr>
        <w:pStyle w:val="ListBullet"/>
        <w:spacing w:after="40"/>
      </w:pPr>
      <w:r>
        <w:t>Standards are a design input: Select the drawing standard, units, projection convention, threads and tolerances before detailing.</w:t>
      </w:r>
    </w:p>
    <w:p>
      <w:pPr>
        <w:pStyle w:val="ListBullet"/>
        <w:spacing w:after="40"/>
      </w:pPr>
      <w:r>
        <w:t>Validate before reuse: Check units, materials, sketches, feature warnings, mass properties and naming before a part enters an assembly.</w:t>
      </w:r>
    </w:p>
    <w:p>
      <w:pPr>
        <w:pStyle w:val="Heading3"/>
      </w:pPr>
      <w:r>
        <w:t>Lab 1 — Design Brief to Parametric Base Part · Slide 27</w:t>
      </w:r>
    </w:p>
    <w:p>
      <w:r>
        <w:t>Scenario: Create a controllable base component for a compact universal-joint guard and prove that the sketch captures the design brief.</w:t>
      </w:r>
    </w:p>
    <w:p>
      <w:r>
        <w:t>Acceptance evidence: Sketch reports Fully Constrained and is centred on stable origin geometry.; Named parameters control the main dimensions without failed features.; The IPT opens from the lab project with no missing reference or update warning.; Evidence shows the requirement-to-feature rationale and a successful dimension change.</w:t>
      </w:r>
    </w:p>
    <w:p>
      <w:pPr>
        <w:pStyle w:val="Heading2"/>
      </w:pPr>
      <w:r>
        <w:t>Topic 2 — Generate CAD Models · Slides 29–41</w:t>
      </w:r>
    </w:p>
    <w:p>
      <w:r>
        <w:t>Advanced features · work geometry · freeform and sheet metal · model interoperability</w:t>
      </w:r>
    </w:p>
    <w:p>
      <w:pPr>
        <w:pStyle w:val="ListBullet"/>
        <w:spacing w:after="40"/>
      </w:pPr>
      <w:r>
        <w:t>Analyse form before modelling: Classify the part as prismatic, rotational, path-driven, section-driven, freeform or sheet metal before choosing tools.</w:t>
      </w:r>
    </w:p>
    <w:p>
      <w:pPr>
        <w:pStyle w:val="ListBullet"/>
        <w:spacing w:after="40"/>
      </w:pPr>
      <w:r>
        <w:t>Work geometry controls difficult features: Offset planes, tangent planes, axes and points create references where a natural face does not exist.</w:t>
      </w:r>
    </w:p>
    <w:p>
      <w:pPr>
        <w:pStyle w:val="ListBullet"/>
        <w:spacing w:after="40"/>
      </w:pPr>
      <w:r>
        <w:t>Projected geometry links context: Project only the edges needed; excessive external dependencies make the feature tree fragile.</w:t>
      </w:r>
    </w:p>
    <w:p>
      <w:pPr>
        <w:pStyle w:val="ListBullet"/>
        <w:spacing w:after="40"/>
      </w:pPr>
      <w:r>
        <w:t>Multi-body supports top-down design: Develop interacting solids in one context, then derive or make components while retaining intent.</w:t>
      </w:r>
    </w:p>
    <w:p>
      <w:pPr>
        <w:pStyle w:val="ListBullet"/>
        <w:spacing w:after="40"/>
      </w:pPr>
      <w:r>
        <w:t>Patterns encode repetition: Rectangular, circular and path patterns reduce duplicated work and keep repeated geometry consistent.</w:t>
      </w:r>
    </w:p>
    <w:p>
      <w:pPr>
        <w:pStyle w:val="ListBullet"/>
        <w:spacing w:after="40"/>
      </w:pPr>
      <w:r>
        <w:t>Mirrors encode symmetry: Mirror features or bodies across a stable plane instead of rebuilding symmetric geometry.</w:t>
      </w:r>
    </w:p>
    <w:p>
      <w:pPr>
        <w:pStyle w:val="ListBullet"/>
        <w:spacing w:after="40"/>
      </w:pPr>
      <w:r>
        <w:t>Freeform solves organic transitions: T-spline forms suit ergonomic and aesthetic surfaces; validate curvature and convert deliberately.</w:t>
      </w:r>
    </w:p>
    <w:p>
      <w:pPr>
        <w:pStyle w:val="ListBullet"/>
        <w:spacing w:after="40"/>
      </w:pPr>
      <w:r>
        <w:t>Sheet metal is rule-driven: Thickness, bend radius, relief and K-factor govern both folded geometry and manufacturable flat patterns.</w:t>
      </w:r>
    </w:p>
    <w:p>
      <w:pPr>
        <w:pStyle w:val="ListBullet"/>
        <w:spacing w:after="40"/>
      </w:pPr>
      <w:r>
        <w:t>Orthographic views are a test: Front, top, side and isometric views expose missing geometry, asymmetry and unclear feature relationships.</w:t>
      </w:r>
    </w:p>
    <w:p>
      <w:pPr>
        <w:pStyle w:val="ListBullet"/>
        <w:spacing w:after="40"/>
      </w:pPr>
      <w:r>
        <w:t>Imported CAD needs inspection: Confirm units, body type, geometry health and associativity before using STEP, IGES, SAT or Parasolid data.</w:t>
      </w:r>
    </w:p>
    <w:p>
      <w:pPr>
        <w:pStyle w:val="ListBullet"/>
        <w:spacing w:after="40"/>
      </w:pPr>
      <w:r>
        <w:t>Direct edits are tactical: Move face, delete face and replace face solve local changes; parametric features remain preferable for design intent.</w:t>
      </w:r>
    </w:p>
    <w:p>
      <w:pPr>
        <w:pStyle w:val="ListBullet"/>
        <w:spacing w:after="40"/>
      </w:pPr>
      <w:r>
        <w:t>Model health is evidence: A clean browser, resolved references, named features and stable update behaviour are part of the deliverable.</w:t>
      </w:r>
    </w:p>
    <w:p>
      <w:pPr>
        <w:pStyle w:val="Heading3"/>
      </w:pPr>
      <w:r>
        <w:t>Lab 2 — Advanced Part, Sheet Metal and Orthographic Review · Slide 40</w:t>
      </w:r>
    </w:p>
    <w:p>
      <w:r>
        <w:t>Scenario: Develop two alternative CAD models for a protective cover: a lofted solid concept and a manufacturable folded-sheet option.</w:t>
      </w:r>
    </w:p>
    <w:p>
      <w:r>
        <w:t>Acceptance evidence: Loft sections are fully constrained and the resulting body has no visible discontinuity or failed feature.; Sheet-metal thickness and bend rule are consistent and the flat pattern is valid.; Orthographic views agree with the 3D models and show the intended geometry clearly.; The design comparison explains why one modelling method is preferred for production.</w:t>
      </w:r>
    </w:p>
    <w:p>
      <w:pPr>
        <w:pStyle w:val="Heading2"/>
      </w:pPr>
      <w:r>
        <w:t>Topic 3 — Assembly Modeling · Slides 42–55</w:t>
      </w:r>
    </w:p>
    <w:p>
      <w:r>
        <w:t>Top-down and bottom-up structures · degrees of freedom · joints and constraints</w:t>
      </w:r>
    </w:p>
    <w:p>
      <w:pPr>
        <w:pStyle w:val="ListBullet"/>
        <w:spacing w:after="40"/>
      </w:pPr>
      <w:r>
        <w:t>Assembly structure communicates product logic: Parts, subassemblies and purchased items should mirror manufacturing, service and BOM expectations.</w:t>
      </w:r>
    </w:p>
    <w:p>
      <w:pPr>
        <w:pStyle w:val="ListBullet"/>
        <w:spacing w:after="40"/>
      </w:pPr>
      <w:r>
        <w:t>Bottom-up reuses proven parts: Place independently designed components, then define their relationships and allowable motion.</w:t>
      </w:r>
    </w:p>
    <w:p>
      <w:pPr>
        <w:pStyle w:val="ListBullet"/>
        <w:spacing w:after="40"/>
      </w:pPr>
      <w:r>
        <w:t>Top-down controls interfaces: Start from a layout or master geometry so interacting parts derive from shared functional references.</w:t>
      </w:r>
    </w:p>
    <w:p>
      <w:pPr>
        <w:pStyle w:val="ListBullet"/>
        <w:spacing w:after="40"/>
      </w:pPr>
      <w:r>
        <w:t>Every component starts with six DOF: Three translations and three rotations remain until grounding, constraints or joints remove them.</w:t>
      </w:r>
    </w:p>
    <w:p>
      <w:pPr>
        <w:pStyle w:val="ListBullet"/>
        <w:spacing w:after="40"/>
      </w:pPr>
      <w:r>
        <w:t>Constraints position geometry: Mate, flush, angle and insert relationships remove specific degrees of freedom between selections.</w:t>
      </w:r>
    </w:p>
    <w:p>
      <w:pPr>
        <w:pStyle w:val="ListBullet"/>
        <w:spacing w:after="40"/>
      </w:pPr>
      <w:r>
        <w:t>Joints describe motion: Rigid, rotational, slider, cylindrical, planar and ball joints capture intended movement directly.</w:t>
      </w:r>
    </w:p>
    <w:p>
      <w:pPr>
        <w:pStyle w:val="ListBullet"/>
        <w:spacing w:after="40"/>
      </w:pPr>
      <w:r>
        <w:t>Ground one stable reference: Ground the base component or use origin relationships so the mechanism has a predictable frame.</w:t>
      </w:r>
    </w:p>
    <w:p>
      <w:pPr>
        <w:pStyle w:val="ListBullet"/>
        <w:spacing w:after="40"/>
      </w:pPr>
      <w:r>
        <w:t>Constraint order matters: Constrain primary locating surfaces first, secondary alignment next, then motion limits and detail relationships.</w:t>
      </w:r>
    </w:p>
    <w:p>
      <w:pPr>
        <w:pStyle w:val="ListBullet"/>
        <w:spacing w:after="40"/>
      </w:pPr>
      <w:r>
        <w:t>Interference is a release blocker: Use collision and interference analysis to distinguish acceptable contact from overlapping solids.</w:t>
      </w:r>
    </w:p>
    <w:p>
      <w:pPr>
        <w:pStyle w:val="ListBullet"/>
        <w:spacing w:after="40"/>
      </w:pPr>
      <w:r>
        <w:t>Representations reduce complexity: Design views, positional representations and model states support review, drawings and performance.</w:t>
      </w:r>
    </w:p>
    <w:p>
      <w:pPr>
        <w:pStyle w:val="ListBullet"/>
        <w:spacing w:after="40"/>
      </w:pPr>
      <w:r>
        <w:t>Imported components need ownership rules: Decide whether external geometry remains associative, becomes a reference or is converted into a controlled part.</w:t>
      </w:r>
    </w:p>
    <w:p>
      <w:pPr>
        <w:pStyle w:val="ListBullet"/>
        <w:spacing w:after="40"/>
      </w:pPr>
      <w:r>
        <w:t>Assembly drawings tell the build story: Views, parts lists, balloons and notes communicate order, identity and critical relationships.</w:t>
      </w:r>
    </w:p>
    <w:p>
      <w:pPr>
        <w:pStyle w:val="Heading3"/>
      </w:pPr>
      <w:r>
        <w:t>Lab 3 — Bottom-Up Universal Joint Assembly · Slide 53</w:t>
      </w:r>
    </w:p>
    <w:p>
      <w:r>
        <w:t>Scenario: Assemble the supplied universal-joint components from proven part files and retain the mechanism's intended rotation.</w:t>
      </w:r>
    </w:p>
    <w:p>
      <w:r>
        <w:t>Acceptance evidence: All references resolve locally and the assembly opens without warnings.; The base is grounded, required components are constrained, and intended rotation remains possible.; Interference findings are reviewed and any unacceptable overlap is corrected.; The assembly drawing includes views, parts list and balloons that agree with the IAM BOM.</w:t>
      </w:r>
    </w:p>
    <w:p>
      <w:pPr>
        <w:pStyle w:val="Heading3"/>
      </w:pPr>
      <w:r>
        <w:t>Lab 4 — Top-Down Layout and Assembly Relationships · Slide 54</w:t>
      </w:r>
    </w:p>
    <w:p>
      <w:r>
        <w:t>Scenario: Control a universal-shaft variant from a master layout and compare that interface-driven approach with the bottom-up assembly.</w:t>
      </w:r>
    </w:p>
    <w:p>
      <w:r>
        <w:t>Acceptance evidence: Named layout parameters control the key interfaces and update the assembly predictably.; No redundant or conflicting relationship remains in the browser.; Nominal and service positional representations are saved and demonstrably different.; The comparison correctly distinguishes top-down interface control from bottom-up reuse.</w:t>
      </w:r>
    </w:p>
    <w:p>
      <w:pPr>
        <w:pStyle w:val="Heading2"/>
      </w:pPr>
      <w:r>
        <w:t>Topic 4 — Weldments · Slides 56–68</w:t>
      </w:r>
    </w:p>
    <w:p>
      <w:r>
        <w:t>Preparation · weld features · post-weld machining · material and inspection decisions</w:t>
      </w:r>
    </w:p>
    <w:p>
      <w:pPr>
        <w:pStyle w:val="ListBullet"/>
        <w:spacing w:after="40"/>
      </w:pPr>
      <w:r>
        <w:t>A weldment extends an assembly: It adds ordered preparation, weld and machining groups while retaining assembly relationships.</w:t>
      </w:r>
    </w:p>
    <w:p>
      <w:pPr>
        <w:pStyle w:val="ListBullet"/>
        <w:spacing w:after="40"/>
      </w:pPr>
      <w:r>
        <w:t>Conversion is deliberate: A regular assembly can become a weldment, but the conversion is one-way and should follow a saved baseline.</w:t>
      </w:r>
    </w:p>
    <w:p>
      <w:pPr>
        <w:pStyle w:val="ListBullet"/>
        <w:spacing w:after="40"/>
      </w:pPr>
      <w:r>
        <w:t>Preparation precedes joining: Chamfers, gaps and reliefs belong in the preparation group because they exist before the weld is applied.</w:t>
      </w:r>
    </w:p>
    <w:p>
      <w:pPr>
        <w:pStyle w:val="ListBullet"/>
        <w:spacing w:after="40"/>
      </w:pPr>
      <w:r>
        <w:t>Weld features carry intent: Fillet, groove and cosmetic welds communicate joint type, extent and manufacturing expectation.</w:t>
      </w:r>
    </w:p>
    <w:p>
      <w:pPr>
        <w:pStyle w:val="ListBullet"/>
        <w:spacing w:after="40"/>
      </w:pPr>
      <w:r>
        <w:t>Machining happens after welding: Post-weld holes, facing and cuts belong after the weld group when manufacturing sequence matters.</w:t>
      </w:r>
    </w:p>
    <w:p>
      <w:pPr>
        <w:pStyle w:val="ListBullet"/>
        <w:spacing w:after="40"/>
      </w:pPr>
      <w:r>
        <w:t>Material choice affects the joint: Strength, weldability, corrosion, thermal response, availability and cost must be considered together.</w:t>
      </w:r>
    </w:p>
    <w:p>
      <w:pPr>
        <w:pStyle w:val="ListBullet"/>
        <w:spacing w:after="40"/>
      </w:pPr>
      <w:r>
        <w:t>Standards remove ambiguity: Weld symbols, sizes, lengths, pitch, finish and process notes must follow the selected standard.</w:t>
      </w:r>
    </w:p>
    <w:p>
      <w:pPr>
        <w:pStyle w:val="ListBullet"/>
        <w:spacing w:after="40"/>
      </w:pPr>
      <w:r>
        <w:t>BOM structure reflects fabrication: Decide whether the weldment is treated as one fabricated item or reported through its components.</w:t>
      </w:r>
    </w:p>
    <w:p>
      <w:pPr>
        <w:pStyle w:val="ListBullet"/>
        <w:spacing w:after="40"/>
      </w:pPr>
      <w:r>
        <w:t>Distortion is a design risk: Heat input, restraint, sequence and access can change final geometry even when the CAD nominal is perfect.</w:t>
      </w:r>
    </w:p>
    <w:p>
      <w:pPr>
        <w:pStyle w:val="ListBullet"/>
        <w:spacing w:after="40"/>
      </w:pPr>
      <w:r>
        <w:t>Inspection needs access: Design for visual inspection, gauges or NDT access where the risk and specification require it.</w:t>
      </w:r>
    </w:p>
    <w:p>
      <w:pPr>
        <w:pStyle w:val="ListBullet"/>
        <w:spacing w:after="40"/>
      </w:pPr>
      <w:r>
        <w:t>Exploded views still need judgement: A weldment may require pre-weld and post-weld communication rather than a generic exploded assembly.</w:t>
      </w:r>
    </w:p>
    <w:p>
      <w:pPr>
        <w:pStyle w:val="ListBullet"/>
        <w:spacing w:after="40"/>
      </w:pPr>
      <w:r>
        <w:t>Review manufacturability early: Check joint access, fit-up, tolerance stack, fixturing and post-process operations before release.</w:t>
      </w:r>
    </w:p>
    <w:p>
      <w:pPr>
        <w:pStyle w:val="Heading3"/>
      </w:pPr>
      <w:r>
        <w:t>Lab 5 — Convert an Assembly to a Weldment · Slide 67</w:t>
      </w:r>
    </w:p>
    <w:p>
      <w:r>
        <w:t>Scenario: Prepare a small fabricated bracket assembly for welding, inspection and post-weld machining using supplied assembly components.</w:t>
      </w:r>
    </w:p>
    <w:p>
      <w:r>
        <w:t>Acceptance evidence: The working IAM is a weldment with correctly ordered preparation, weld and machining features.; Material choice is justified using at least four relevant criteria.; The drawing communicates weld type, extent and inspection intent under the selected standard.; Fabrication access and post-weld operations have been reviewed and recorded.</w:t>
      </w:r>
    </w:p>
    <w:p>
      <w:pPr>
        <w:pStyle w:val="Heading2"/>
      </w:pPr>
      <w:r>
        <w:t>Topic 5 — Deliverables · Slides 69–81</w:t>
      </w:r>
    </w:p>
    <w:p>
      <w:r>
        <w:t>Drawing views · dimensions and GD&amp;T · parts lists · release-ready communication</w:t>
      </w:r>
    </w:p>
    <w:p>
      <w:pPr>
        <w:pStyle w:val="ListBullet"/>
        <w:spacing w:after="40"/>
      </w:pPr>
      <w:r>
        <w:t>A drawing is a controlled communication: It translates design intent into a release package that manufacturing and inspection can interpret consistently.</w:t>
      </w:r>
    </w:p>
    <w:p>
      <w:pPr>
        <w:pStyle w:val="ListBullet"/>
        <w:spacing w:after="40"/>
      </w:pPr>
      <w:r>
        <w:t>Templates set the contract: Sheet size, border, title block, units, projection, styles and revision fields should be correct before views are placed.</w:t>
      </w:r>
    </w:p>
    <w:p>
      <w:pPr>
        <w:pStyle w:val="ListBullet"/>
        <w:spacing w:after="40"/>
      </w:pPr>
      <w:r>
        <w:t>Base view establishes orientation: Choose the most descriptive orientation, scale, hidden-line treatment and design representation.</w:t>
      </w:r>
    </w:p>
    <w:p>
      <w:pPr>
        <w:pStyle w:val="ListBullet"/>
        <w:spacing w:after="40"/>
      </w:pPr>
      <w:r>
        <w:t>Projected views preserve alignment: Create orthographic and isometric views from the base so projection relationships stay associative.</w:t>
      </w:r>
    </w:p>
    <w:p>
      <w:pPr>
        <w:pStyle w:val="ListBullet"/>
        <w:spacing w:after="40"/>
      </w:pPr>
      <w:r>
        <w:t>Sections explain internal form: Use cutting planes only where they reveal otherwise hidden geometry; hatch and labels must remain clear.</w:t>
      </w:r>
    </w:p>
    <w:p>
      <w:pPr>
        <w:pStyle w:val="ListBullet"/>
        <w:spacing w:after="40"/>
      </w:pPr>
      <w:r>
        <w:t>Details enlarge critical areas: A detail view focuses tolerance, fit or feature complexity without crowding the parent view.</w:t>
      </w:r>
    </w:p>
    <w:p>
      <w:pPr>
        <w:pStyle w:val="ListBullet"/>
        <w:spacing w:after="40"/>
      </w:pPr>
      <w:r>
        <w:t>Dimension for manufacture: Select functional datums and avoid duplicated, chained or ambiguous dimensions that hide tolerance accumulation.</w:t>
      </w:r>
    </w:p>
    <w:p>
      <w:pPr>
        <w:pStyle w:val="ListBullet"/>
        <w:spacing w:after="40"/>
      </w:pPr>
      <w:r>
        <w:t>GD&amp;T controls variation: Feature control frames define characteristic, tolerance zone, material condition and datum references.</w:t>
      </w:r>
    </w:p>
    <w:p>
      <w:pPr>
        <w:pStyle w:val="ListBullet"/>
        <w:spacing w:after="40"/>
      </w:pPr>
      <w:r>
        <w:t>Datum schemes simulate function: Primary, secondary and tertiary datums constrain the part in the sequence used for assembly or inspection.</w:t>
      </w:r>
    </w:p>
    <w:p>
      <w:pPr>
        <w:pStyle w:val="ListBullet"/>
        <w:spacing w:after="40"/>
      </w:pPr>
      <w:r>
        <w:t>Parts lists and balloons link identity: Item numbers, quantities, part numbers and descriptions must match the assembly BOM.</w:t>
      </w:r>
    </w:p>
    <w:p>
      <w:pPr>
        <w:pStyle w:val="ListBullet"/>
        <w:spacing w:after="40"/>
      </w:pPr>
      <w:r>
        <w:t>Associativity needs checking: A green model update is not proof the drawing still communicates correctly; inspect every affected view and note.</w:t>
      </w:r>
    </w:p>
    <w:p>
      <w:pPr>
        <w:pStyle w:val="ListBullet"/>
        <w:spacing w:after="40"/>
      </w:pPr>
      <w:r>
        <w:t>Release uses a checklist: Verify views, scales, units, tolerances, materials, notes, revision, approvals and exported deliverables.</w:t>
      </w:r>
    </w:p>
    <w:p>
      <w:pPr>
        <w:pStyle w:val="Heading3"/>
      </w:pPr>
      <w:r>
        <w:t>Lab 6 — Production Drawing and GD&amp;T Package · Slide 80</w:t>
      </w:r>
    </w:p>
    <w:p>
      <w:r>
        <w:t>Scenario: Create a release-ready drawing for an engine-block component using views, dimensions, tolerances and a functional datum reference frame.</w:t>
      </w:r>
    </w:p>
    <w:p>
      <w:r>
        <w:t>Acceptance evidence: Base, projected, section, detail and isometric views are correctly aligned and readable.; Dimensions are non-duplicated, trace to functional datums and avoid uncontrolled tolerance chains.; GD&amp;T is syntactically complete and the datum scheme reflects assembly or inspection function.; The drawing updates associatively and passes the release checklist.</w:t>
      </w:r>
    </w:p>
    <w:p>
      <w:pPr>
        <w:pStyle w:val="Heading2"/>
      </w:pPr>
      <w:r>
        <w:t>Topic 6 — Review Final Designs · Slides 82–95</w:t>
      </w:r>
    </w:p>
    <w:p>
      <w:r>
        <w:t>Presentation and animation · material evidence · automation · design-for-manufacture review</w:t>
      </w:r>
    </w:p>
    <w:p>
      <w:pPr>
        <w:pStyle w:val="ListBullet"/>
        <w:spacing w:after="40"/>
      </w:pPr>
      <w:r>
        <w:t>Review against requirements: A design is ready only when function, interfaces, performance, manufacture, safety and evidence meet the brief.</w:t>
      </w:r>
    </w:p>
    <w:p>
      <w:pPr>
        <w:pStyle w:val="ListBullet"/>
        <w:spacing w:after="40"/>
      </w:pPr>
      <w:r>
        <w:t>Scenes preserve review viewpoints: Presentation scenes can show different representations, camera positions and communication purposes.</w:t>
      </w:r>
    </w:p>
    <w:p>
      <w:pPr>
        <w:pStyle w:val="ListBullet"/>
        <w:spacing w:after="40"/>
      </w:pPr>
      <w:r>
        <w:t>Tweaks explain assembly: Explode direction, distance, order and trail visibility should reveal relationships without implying impossible motion.</w:t>
      </w:r>
    </w:p>
    <w:p>
      <w:pPr>
        <w:pStyle w:val="ListBullet"/>
        <w:spacing w:after="40"/>
      </w:pPr>
      <w:r>
        <w:t>Storyboards organise time: A storyboard sequences component movement, camera actions and snapshots into a repeatable explanation.</w:t>
      </w:r>
    </w:p>
    <w:p>
      <w:pPr>
        <w:pStyle w:val="ListBullet"/>
        <w:spacing w:after="40"/>
      </w:pPr>
      <w:r>
        <w:t>Animation is evidence, not decoration: Use movement to prove order, clearance or function; the static drawing must still carry complete meaning.</w:t>
      </w:r>
    </w:p>
    <w:p>
      <w:pPr>
        <w:pStyle w:val="ListBullet"/>
        <w:spacing w:after="40"/>
      </w:pPr>
      <w:r>
        <w:t>Materials connect geometry to performance: Assign physical materials and verify density, mass, centre of gravity, appearance and manufacturing implications.</w:t>
      </w:r>
    </w:p>
    <w:p>
      <w:pPr>
        <w:pStyle w:val="ListBullet"/>
        <w:spacing w:after="40"/>
      </w:pPr>
      <w:r>
        <w:t>Parameters expose design controls: Named user parameters make key dimensions visible to review and enable repeatable variants.</w:t>
      </w:r>
    </w:p>
    <w:p>
      <w:pPr>
        <w:pStyle w:val="ListBullet"/>
        <w:spacing w:after="40"/>
      </w:pPr>
      <w:r>
        <w:t>iLogic captures rules: Rules can validate ranges, switch features, update properties and automate drawings when the intent is explicit.</w:t>
      </w:r>
    </w:p>
    <w:p>
      <w:pPr>
        <w:pStyle w:val="ListBullet"/>
        <w:spacing w:after="40"/>
      </w:pPr>
      <w:r>
        <w:t>The API extends automation: Inventor's object model supports documents, components, features, properties and batch workflows; govern scripts as production tools.</w:t>
      </w:r>
    </w:p>
    <w:p>
      <w:pPr>
        <w:pStyle w:val="ListBullet"/>
        <w:spacing w:after="40"/>
      </w:pPr>
      <w:r>
        <w:t>DFMA reduces lifecycle cost: Simplify part count, handling, fastening, tool access and process steps without compromising function.</w:t>
      </w:r>
    </w:p>
    <w:p>
      <w:pPr>
        <w:pStyle w:val="ListBullet"/>
        <w:spacing w:after="40"/>
      </w:pPr>
      <w:r>
        <w:t>Change review is traceable: Record the issue, decision, affected files, evidence, owner and approval before releasing a revision.</w:t>
      </w:r>
    </w:p>
    <w:p>
      <w:pPr>
        <w:pStyle w:val="ListBullet"/>
        <w:spacing w:after="40"/>
      </w:pPr>
      <w:r>
        <w:t>Productivity is system design: Templates, libraries, naming, model states, automation and checklists should reduce variation across the whole team.</w:t>
      </w:r>
    </w:p>
    <w:p>
      <w:pPr>
        <w:pStyle w:val="Heading3"/>
      </w:pPr>
      <w:r>
        <w:t>Lab 7 — Exploded View, Storyboard and Animation · Slide 93</w:t>
      </w:r>
    </w:p>
    <w:p>
      <w:r>
        <w:t>Scenario: Explain the assembly and service order of a small engine using an exploded presentation and a concise animation.</w:t>
      </w:r>
    </w:p>
    <w:p>
      <w:r>
        <w:t>Acceptance evidence: All presentation references resolve and the source IAM remains unchanged.; Exploded paths are readable, non-colliding and consistent with a plausible assembly sequence.; Storyboard timing and snapshots communicate the same ordered narrative.; The exported output and drawing view are legible and suitable for stakeholder review.</w:t>
      </w:r>
    </w:p>
    <w:p>
      <w:pPr>
        <w:pStyle w:val="Heading3"/>
      </w:pPr>
      <w:r>
        <w:t>Lab 8 — Material, Automation and Final Design Review · Slide 94</w:t>
      </w:r>
    </w:p>
    <w:p>
      <w:r>
        <w:t>Scenario: Review an engine-block part against requirements, compare material options and encode a controlled design variant using named parameters and a simple rule.</w:t>
      </w:r>
    </w:p>
    <w:p>
      <w:r>
        <w:t>Acceptance evidence: Review evidence addresses all stated requirements and clearly separates fact, assumption and recommendation.; Material decision uses multiple performance and manufacturing criteria with traceable mass-property evidence.; Named parameters and the rule control a valid range without failing the model.; The approved change, affected drawing and DFMA implications are recorded before release.</w:t>
      </w:r>
    </w:p>
    <w:p>
      <w:pPr>
        <w:pStyle w:val="Heading1"/>
      </w:pPr>
      <w:r>
        <w:t>Resources Required</w:t>
      </w:r>
    </w:p>
    <w:p>
      <w:pPr>
        <w:pStyle w:val="ListBullet"/>
        <w:spacing w:after="40"/>
      </w:pPr>
      <w:r>
        <w:t>Windows computer with Autodesk Inventor 2024 or later.</w:t>
      </w:r>
    </w:p>
    <w:p>
      <w:pPr>
        <w:pStyle w:val="ListBullet"/>
        <w:spacing w:after="40"/>
      </w:pPr>
      <w:r>
        <w:t>Current slide deck, Learner Guide and complete labs folder.</w:t>
      </w:r>
    </w:p>
    <w:p>
      <w:pPr>
        <w:pStyle w:val="ListBullet"/>
        <w:spacing w:after="40"/>
      </w:pPr>
      <w:r>
        <w:t>Projector and demonstration workstation.</w:t>
      </w:r>
    </w:p>
    <w:p>
      <w:pPr>
        <w:pStyle w:val="ListBullet"/>
        <w:spacing w:after="40"/>
      </w:pPr>
      <w:r>
        <w:t>Access to the LMS for courseware, attendance and assessment submission.</w:t>
      </w:r>
    </w:p>
    <w:p>
      <w:pPr>
        <w:pStyle w:val="ListBullet"/>
        <w:spacing w:after="40"/>
      </w:pPr>
      <w:r>
        <w:t>Assessment question papers and trainer-only answer keys held under the approved access controls.</w:t>
      </w:r>
    </w:p>
    <w:p>
      <w:pPr>
        <w:pStyle w:val="Heading1"/>
      </w:pPr>
      <w:r>
        <w:t>Assessment</w:t>
      </w:r>
    </w:p>
    <w:p>
      <w:pPr>
        <w:pStyle w:val="ListBullet"/>
        <w:spacing w:after="40"/>
      </w:pPr>
      <w:r>
        <w:t>Written Assessment (WA-SAQ): 8 open-ended questions, K1–K8, 60 minutes, open book.</w:t>
      </w:r>
    </w:p>
    <w:p>
      <w:pPr>
        <w:pStyle w:val="ListBullet"/>
        <w:spacing w:after="40"/>
      </w:pPr>
      <w:r>
        <w:t>Practical Performance (PP): 6 tasks, A1–A11, 90 minutes, open book.</w:t>
      </w:r>
    </w:p>
    <w:p>
      <w:pPr>
        <w:pStyle w:val="ListBullet"/>
        <w:spacing w:after="40"/>
      </w:pPr>
      <w:r>
        <w:t>Assessment block: Day 2, 3:30 PM–6:00 PM.</w:t>
      </w:r>
    </w:p>
    <w:p>
      <w:pPr>
        <w:pStyle w:val="ListBullet"/>
        <w:spacing w:after="40"/>
      </w:pPr>
      <w:r>
        <w:t>Learners submit completed question papers on the LMS; answer keys remain trainer-only.</w:t>
      </w:r>
    </w:p>
    <w:sectPr w:rsidR="00FC693F" w:rsidRPr="0006063C" w:rsidSect="00034616"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B6372"/>
        <w:sz w:val="16"/>
      </w:rPr>
      <w:t xml:space="preserve">© 2026 Tertiary Infotech Academy Pte Ltd · TGS-2021006715 · Page </w:t>
    </w:r>
    <w:r>
      <w:fldChar w:fldCharType="begin"/>
      <w:instrText xml:space="preserve"> PAGE </w:instrText>
      <w:fldChar w:fldCharType="end"/>
    </w:r>
    <w:r>
      <w:rPr>
        <w:rFonts w:ascii="Arial" w:hAnsi="Arial"/>
        <w:color w:val="5B6372"/>
        <w:sz w:val="16"/>
      </w:rPr>
      <w:t xml:space="preserve"> of </w:t>
    </w:r>
    <w: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08A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6D3FD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 w:val="0"/>
      <w:color w:val="161B2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