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Continuous Process Improvement with FMEA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TGS-2021009031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v11.0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356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356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356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3564"/>
          </w:tcPr>
          <w:p>
            <w:r/>
            <w:r>
              <w:rPr>
                <w:sz w:val="19"/>
              </w:rPr>
              <w:t>v10.0</w:t>
            </w:r>
          </w:p>
        </w:tc>
        <w:tc>
          <w:tcPr>
            <w:tcW w:type="dxa" w:w="3564"/>
          </w:tcPr>
          <w:p>
            <w:r/>
            <w:r>
              <w:rPr>
                <w:sz w:val="19"/>
              </w:rPr>
              <w:t>Historical reference</w:t>
            </w:r>
          </w:p>
        </w:tc>
        <w:tc>
          <w:tcPr>
            <w:tcW w:type="dxa" w:w="3564"/>
          </w:tcPr>
          <w:p>
            <w:r/>
            <w:r>
              <w:rPr>
                <w:sz w:val="19"/>
              </w:rPr>
              <w:t>Legacy lesson structure</w:t>
            </w:r>
          </w:p>
        </w:tc>
        <w:tc>
          <w:tcPr>
            <w:tcW w:type="dxa" w:w="3564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3564"/>
          </w:tcPr>
          <w:p>
            <w:r/>
            <w:r>
              <w:rPr>
                <w:sz w:val="19"/>
              </w:rPr>
              <w:t>v11.0</w:t>
            </w:r>
          </w:p>
        </w:tc>
        <w:tc>
          <w:tcPr>
            <w:tcW w:type="dxa" w:w="3564"/>
          </w:tcPr>
          <w:p>
            <w:r/>
            <w:r>
              <w:rPr>
                <w:sz w:val="19"/>
              </w:rPr>
              <w:t>13 August 2026</w:t>
            </w:r>
          </w:p>
        </w:tc>
        <w:tc>
          <w:tcPr>
            <w:tcW w:type="dxa" w:w="3564"/>
          </w:tcPr>
          <w:p>
            <w:r/>
            <w:r>
              <w:rPr>
                <w:sz w:val="19"/>
              </w:rPr>
              <w:t>Aligned 2-day plan, ten activities and current 146-slide deck</w:t>
            </w:r>
          </w:p>
        </w:tc>
        <w:tc>
          <w:tcPr>
            <w:tcW w:type="dxa" w:w="3564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Day 1 Schedule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Day 2 Schedule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 Plan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Facilitator Preparation</w:t>
        <w:tab/>
        <w:t>7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</w:tcPr>
          <w:p>
            <w:r>
              <w:rPr>
                <w:b/>
              </w:rPr>
              <w:t>Course</w:t>
            </w:r>
          </w:p>
        </w:tc>
        <w:tc>
          <w:tcPr>
            <w:tcW w:type="dxa" w:w="7128"/>
          </w:tcPr>
          <w:p>
            <w:r>
              <w:t>Continuous Process Improvement with FMEA</w:t>
            </w:r>
          </w:p>
        </w:tc>
      </w:tr>
      <w:tr>
        <w:tc>
          <w:tcPr>
            <w:tcW w:type="dxa" w:w="7128"/>
          </w:tcPr>
          <w:p>
            <w:r>
              <w:rPr>
                <w:b/>
              </w:rPr>
              <w:t>Course code</w:t>
            </w:r>
          </w:p>
        </w:tc>
        <w:tc>
          <w:tcPr>
            <w:tcW w:type="dxa" w:w="7128"/>
          </w:tcPr>
          <w:p>
            <w:r>
              <w:t>TGS-2021009031</w:t>
            </w:r>
          </w:p>
        </w:tc>
      </w:tr>
      <w:tr>
        <w:tc>
          <w:tcPr>
            <w:tcW w:type="dxa" w:w="7128"/>
          </w:tcPr>
          <w:p>
            <w:r>
              <w:rPr>
                <w:b/>
              </w:rPr>
              <w:t>TSC</w:t>
            </w:r>
          </w:p>
        </w:tc>
        <w:tc>
          <w:tcPr>
            <w:tcW w:type="dxa" w:w="7128"/>
          </w:tcPr>
          <w:p>
            <w:r>
              <w:t>Continuous Process Improvement (ELE-PIN-4001-1.1)</w:t>
            </w:r>
          </w:p>
        </w:tc>
      </w:tr>
      <w:tr>
        <w:tc>
          <w:tcPr>
            <w:tcW w:type="dxa" w:w="7128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7128"/>
          </w:tcPr>
          <w:p>
            <w:r>
              <w:t>2 days / 16 hours</w:t>
            </w:r>
          </w:p>
        </w:tc>
      </w:tr>
      <w:tr>
        <w:tc>
          <w:tcPr>
            <w:tcW w:type="dxa" w:w="7128"/>
          </w:tcPr>
          <w:p>
            <w:r>
              <w:rPr>
                <w:b/>
              </w:rPr>
              <w:t>Training</w:t>
            </w:r>
          </w:p>
        </w:tc>
        <w:tc>
          <w:tcPr>
            <w:tcW w:type="dxa" w:w="7128"/>
          </w:tcPr>
          <w:p>
            <w:r>
              <w:t>13.5 hours</w:t>
            </w:r>
          </w:p>
        </w:tc>
      </w:tr>
      <w:tr>
        <w:tc>
          <w:tcPr>
            <w:tcW w:type="dxa" w:w="7128"/>
          </w:tcPr>
          <w:p>
            <w:r>
              <w:rPr>
                <w:b/>
              </w:rPr>
              <w:t>Assessment</w:t>
            </w:r>
          </w:p>
        </w:tc>
        <w:tc>
          <w:tcPr>
            <w:tcW w:type="dxa" w:w="7128"/>
          </w:tcPr>
          <w:p>
            <w:r>
              <w:t>2.5 hours: WA 60 minutes + PP 90 minutes</w:t>
            </w:r>
          </w:p>
        </w:tc>
      </w:tr>
      <w:tr>
        <w:tc>
          <w:tcPr>
            <w:tcW w:type="dxa" w:w="712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7128"/>
          </w:tcPr>
          <w:p>
            <w:r>
              <w:t>Facilitated concepts, case discussion, demonstration, ten connected hands-on activities and reflective review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ELO1: Create a continuous process improvement system.</w:t>
      </w:r>
    </w:p>
    <w:p>
      <w:pPr>
        <w:pStyle w:val="ListBullet"/>
      </w:pPr>
      <w:r>
        <w:t>ELO2: Perform root cause analysis for continuous process improvement.</w:t>
      </w:r>
    </w:p>
    <w:p>
      <w:pPr>
        <w:pStyle w:val="ListBullet"/>
      </w:pPr>
      <w:r>
        <w:t>ELO3: Design and apply Failure Mode and Effects Analysis (FMEA).</w:t>
      </w:r>
    </w:p>
    <w:p>
      <w:pPr>
        <w:pStyle w:val="ListBullet"/>
      </w:pPr>
      <w:r>
        <w:t>ELO4: Identify and direct improvement opportunities.</w:t>
      </w:r>
    </w:p>
    <w:p>
      <w:pPr>
        <w:pStyle w:val="ListBullet"/>
      </w:pPr>
      <w:r>
        <w:t>ELO5: Manage and evaluate improvement with a Process Control Plan.</w:t>
      </w:r>
    </w:p>
    <w:p>
      <w:r>
        <w:br w:type="page"/>
      </w:r>
    </w:p>
    <w:p>
      <w:pPr>
        <w:pStyle w:val="Heading1"/>
      </w:pPr>
      <w:r>
        <w:t>Day 1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008"/>
        <w:gridCol w:w="1728"/>
        <w:gridCol w:w="2880"/>
        <w:gridCol w:w="3024"/>
        <w:gridCol w:w="2376"/>
        <w:gridCol w:w="2592"/>
      </w:tblGrid>
      <w:tr>
        <w:tc>
          <w:tcPr>
            <w:tcW w:type="dxa" w:w="1224"/>
            <w:shd w:fill="1F6FEB"/>
          </w:tcPr>
          <w:p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1008"/>
            <w:shd w:fill="1F6FEB"/>
          </w:tcPr>
          <w:p>
            <w:r>
              <w:rPr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6"/>
              </w:rPr>
              <w:t>Topic / activity</w:t>
            </w:r>
          </w:p>
        </w:tc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6"/>
              </w:rPr>
              <w:t>Learning outcome and content</w:t>
            </w:r>
          </w:p>
        </w:tc>
        <w:tc>
          <w:tcPr>
            <w:tcW w:type="dxa" w:w="3024"/>
            <w:shd w:fill="1F6FEB"/>
          </w:tcPr>
          <w:p>
            <w:r>
              <w:rPr>
                <w:b/>
                <w:color w:val="FFFFFF"/>
                <w:sz w:val="16"/>
              </w:rPr>
              <w:t>Facilitation / learner activity</w:t>
            </w:r>
          </w:p>
        </w:tc>
        <w:tc>
          <w:tcPr>
            <w:tcW w:type="dxa" w:w="2376"/>
            <w:shd w:fill="1F6FEB"/>
          </w:tcPr>
          <w:p>
            <w:r>
              <w:rPr>
                <w:b/>
                <w:color w:val="FFFFFF"/>
                <w:sz w:val="16"/>
              </w:rPr>
              <w:t>Resources / slides</w:t>
            </w:r>
          </w:p>
        </w:tc>
        <w:tc>
          <w:tcPr>
            <w:tcW w:type="dxa" w:w="2592"/>
            <w:shd w:fill="1F6FEB"/>
          </w:tcPr>
          <w:p>
            <w:r>
              <w:rPr>
                <w:b/>
                <w:color w:val="FFFFFF"/>
                <w:sz w:val="16"/>
              </w:rPr>
              <w:t>Evidence / check</w:t>
            </w:r>
          </w:p>
        </w:tc>
      </w:tr>
      <w:tr>
        <w:trPr>
          <w:trHeight w:hRule="atLeast"/>
        </w:trPr>
        <w:tc>
          <w:tcPr>
            <w:tcW w:type="dxa" w:w="1224"/>
            <w:vAlign w:val="top"/>
          </w:tcPr>
          <w:p>
            <w:r>
              <w:rPr>
                <w:rFonts w:ascii="Arial" w:hAnsi="Arial"/>
                <w:sz w:val="16"/>
              </w:rPr>
              <w:t>09:00–10:30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Arial" w:hAnsi="Arial"/>
                <w:sz w:val="16"/>
              </w:rPr>
              <w:t>1.5 h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Administration and course orientation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sz w:val="16"/>
              </w:rPr>
              <w:t>Attendance, introductions, outcomes, competency mapping, assessment briefing and Orion case.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Arial" w:hAnsi="Arial"/>
                <w:sz w:val="16"/>
              </w:rPr>
              <w:t>Facilitator briefing; learner introduces a workplace process and improvement need.</w:t>
            </w:r>
          </w:p>
        </w:tc>
        <w:tc>
          <w:tcPr>
            <w:tcW w:type="dxa" w:w="2376"/>
            <w:vAlign w:val="top"/>
          </w:tcPr>
          <w:p>
            <w:r>
              <w:rPr>
                <w:rFonts w:ascii="Arial" w:hAnsi="Arial"/>
                <w:sz w:val="16"/>
              </w:rPr>
              <w:t>Slides 1–17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6"/>
              </w:rPr>
              <w:t>Participation; assessment conditions understood</w:t>
            </w:r>
          </w:p>
        </w:tc>
      </w:tr>
      <w:tr>
        <w:trPr>
          <w:trHeight w:hRule="atLeast"/>
        </w:trPr>
        <w:tc>
          <w:tcPr>
            <w:tcW w:type="dxa" w:w="1224"/>
            <w:vAlign w:val="top"/>
          </w:tcPr>
          <w:p>
            <w:r>
              <w:rPr>
                <w:rFonts w:ascii="Arial" w:hAnsi="Arial"/>
                <w:sz w:val="16"/>
              </w:rPr>
              <w:t>10:30–10:45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Short break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sz w:val="16"/>
              </w:rPr>
              <w:t>Refreshment break within the scheduled session.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Arial" w:hAnsi="Arial"/>
                <w:sz w:val="16"/>
              </w:rPr>
              <w:t>Return on time.</w:t>
            </w:r>
          </w:p>
        </w:tc>
        <w:tc>
          <w:tcPr>
            <w:tcW w:type="dxa" w:w="2376"/>
            <w:vAlign w:val="top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6"/>
              </w:rPr>
              <w:t>Attendance maintained</w:t>
            </w:r>
          </w:p>
        </w:tc>
      </w:tr>
      <w:tr>
        <w:trPr>
          <w:trHeight w:hRule="atLeast"/>
        </w:trPr>
        <w:tc>
          <w:tcPr>
            <w:tcW w:type="dxa" w:w="1224"/>
            <w:vAlign w:val="top"/>
          </w:tcPr>
          <w:p>
            <w:r>
              <w:rPr>
                <w:rFonts w:ascii="Arial" w:hAnsi="Arial"/>
                <w:sz w:val="16"/>
              </w:rPr>
              <w:t>10:45–13:00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Arial" w:hAnsi="Arial"/>
                <w:sz w:val="16"/>
              </w:rPr>
              <w:t>2.25 h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Topic 1 + Activities 01–02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sz w:val="16"/>
              </w:rPr>
              <w:t>Create a CI system; culture, governance, PDCA, SIPOC, customer/process voice and coaching.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Arial" w:hAnsi="Arial"/>
                <w:sz w:val="16"/>
              </w:rPr>
              <w:t>Case analysis; complete CI charter and SIPOC/PDCA workbooks; peer scope review.</w:t>
            </w:r>
          </w:p>
        </w:tc>
        <w:tc>
          <w:tcPr>
            <w:tcW w:type="dxa" w:w="2376"/>
            <w:vAlign w:val="top"/>
          </w:tcPr>
          <w:p>
            <w:r>
              <w:rPr>
                <w:rFonts w:ascii="Arial" w:hAnsi="Arial"/>
                <w:sz w:val="16"/>
              </w:rPr>
              <w:t>Slides 19–39; Slides 33–35; Slides 36–38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6"/>
              </w:rPr>
              <w:t>Charter, roles, governance, SIPOC and PDCA hypothesis</w:t>
            </w:r>
          </w:p>
        </w:tc>
      </w:tr>
      <w:tr>
        <w:trPr>
          <w:trHeight w:hRule="atLeast"/>
        </w:trPr>
        <w:tc>
          <w:tcPr>
            <w:tcW w:type="dxa" w:w="1224"/>
            <w:vAlign w:val="top"/>
          </w:tcPr>
          <w:p>
            <w:r>
              <w:rPr>
                <w:rFonts w:ascii="Arial" w:hAnsi="Arial"/>
                <w:sz w:val="16"/>
              </w:rPr>
              <w:t>13:00–14:00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Arial" w:hAnsi="Arial"/>
                <w:sz w:val="16"/>
              </w:rPr>
              <w:t>Not counted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Lunch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sz w:val="16"/>
              </w:rPr>
              <w:t>Lunch break.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2376"/>
            <w:vAlign w:val="top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rPr>
          <w:trHeight w:hRule="atLeast"/>
        </w:trPr>
        <w:tc>
          <w:tcPr>
            <w:tcW w:type="dxa" w:w="1224"/>
            <w:vAlign w:val="top"/>
          </w:tcPr>
          <w:p>
            <w:r>
              <w:rPr>
                <w:rFonts w:ascii="Arial" w:hAnsi="Arial"/>
                <w:sz w:val="16"/>
              </w:rPr>
              <w:t>14:00–15:30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Arial" w:hAnsi="Arial"/>
                <w:sz w:val="16"/>
              </w:rPr>
              <w:t>1.5 h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Topic 2 concepts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sz w:val="16"/>
              </w:rPr>
              <w:t>Problem statements, cause/effect levels, Pareto, Fishbone, evidence-backed 5 Whys, Fault Tree and data quality.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Arial" w:hAnsi="Arial"/>
                <w:sz w:val="16"/>
              </w:rPr>
              <w:t>Interpret a defect Pareto; distinguish symptom, mode, effect and cause; test causal statements.</w:t>
            </w:r>
          </w:p>
        </w:tc>
        <w:tc>
          <w:tcPr>
            <w:tcW w:type="dxa" w:w="2376"/>
            <w:vAlign w:val="top"/>
          </w:tcPr>
          <w:p>
            <w:r>
              <w:rPr>
                <w:rFonts w:ascii="Arial" w:hAnsi="Arial"/>
                <w:sz w:val="16"/>
              </w:rPr>
              <w:t>Slides 40–60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6"/>
              </w:rPr>
              <w:t>Bounded investigation statement and candidate-cause tests</w:t>
            </w:r>
          </w:p>
        </w:tc>
      </w:tr>
      <w:tr>
        <w:trPr>
          <w:trHeight w:hRule="atLeast"/>
        </w:trPr>
        <w:tc>
          <w:tcPr>
            <w:tcW w:type="dxa" w:w="1224"/>
            <w:vAlign w:val="top"/>
          </w:tcPr>
          <w:p>
            <w:r>
              <w:rPr>
                <w:rFonts w:ascii="Arial" w:hAnsi="Arial"/>
                <w:sz w:val="16"/>
              </w:rPr>
              <w:t>15:30–15:45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Short break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sz w:val="16"/>
              </w:rPr>
              <w:t>Refreshment break within the scheduled session.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Arial" w:hAnsi="Arial"/>
                <w:sz w:val="16"/>
              </w:rPr>
              <w:t>Return on time.</w:t>
            </w:r>
          </w:p>
        </w:tc>
        <w:tc>
          <w:tcPr>
            <w:tcW w:type="dxa" w:w="2376"/>
            <w:vAlign w:val="top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6"/>
              </w:rPr>
              <w:t>Attendance maintained</w:t>
            </w:r>
          </w:p>
        </w:tc>
      </w:tr>
      <w:tr>
        <w:trPr>
          <w:trHeight w:hRule="atLeast"/>
        </w:trPr>
        <w:tc>
          <w:tcPr>
            <w:tcW w:type="dxa" w:w="1224"/>
            <w:vAlign w:val="top"/>
          </w:tcPr>
          <w:p>
            <w:r>
              <w:rPr>
                <w:rFonts w:ascii="Arial" w:hAnsi="Arial"/>
                <w:sz w:val="16"/>
              </w:rPr>
              <w:t>15:45–18:00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Arial" w:hAnsi="Arial"/>
                <w:sz w:val="16"/>
              </w:rPr>
              <w:t>2.25 h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Activities 03–04 + Day 1 review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sz w:val="16"/>
              </w:rPr>
              <w:t>Prioritise the defect pattern and verify root causes using complementary tools.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Arial" w:hAnsi="Arial"/>
                <w:sz w:val="16"/>
              </w:rPr>
              <w:t>Complete Pareto, stratification, Fishbone, 5 Whys, Fault Tree and verification matrix; explain one confirmed mechanism.</w:t>
            </w:r>
          </w:p>
        </w:tc>
        <w:tc>
          <w:tcPr>
            <w:tcW w:type="dxa" w:w="2376"/>
            <w:vAlign w:val="top"/>
          </w:tcPr>
          <w:p>
            <w:r>
              <w:rPr>
                <w:rFonts w:ascii="Arial" w:hAnsi="Arial"/>
                <w:sz w:val="16"/>
              </w:rPr>
              <w:t>Slides 54–56; Slides 57–59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6"/>
              </w:rPr>
              <w:t>Reconciled analysis, verification evidence and Day 1 reflection</w:t>
            </w:r>
          </w:p>
        </w:tc>
      </w:tr>
    </w:tbl>
    <w:p>
      <w:r>
        <w:rPr>
          <w:b/>
          <w:color w:val="1F6FEB"/>
        </w:rPr>
        <w:t>Day 1 total: 8.0 scheduled training hours</w:t>
      </w:r>
    </w:p>
    <w:p>
      <w:r>
        <w:br w:type="page"/>
      </w:r>
    </w:p>
    <w:p>
      <w:pPr>
        <w:pStyle w:val="Heading1"/>
      </w:pPr>
      <w:r>
        <w:t>Day 2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008"/>
        <w:gridCol w:w="1728"/>
        <w:gridCol w:w="2880"/>
        <w:gridCol w:w="3024"/>
        <w:gridCol w:w="2376"/>
        <w:gridCol w:w="2592"/>
      </w:tblGrid>
      <w:tr>
        <w:tc>
          <w:tcPr>
            <w:tcW w:type="dxa" w:w="1224"/>
            <w:shd w:fill="1F6FEB"/>
          </w:tcPr>
          <w:p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1008"/>
            <w:shd w:fill="1F6FEB"/>
          </w:tcPr>
          <w:p>
            <w:r>
              <w:rPr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6"/>
              </w:rPr>
              <w:t>Topic / activity</w:t>
            </w:r>
          </w:p>
        </w:tc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6"/>
              </w:rPr>
              <w:t>Learning outcome and content</w:t>
            </w:r>
          </w:p>
        </w:tc>
        <w:tc>
          <w:tcPr>
            <w:tcW w:type="dxa" w:w="3024"/>
            <w:shd w:fill="1F6FEB"/>
          </w:tcPr>
          <w:p>
            <w:r>
              <w:rPr>
                <w:b/>
                <w:color w:val="FFFFFF"/>
                <w:sz w:val="16"/>
              </w:rPr>
              <w:t>Facilitation / learner activity</w:t>
            </w:r>
          </w:p>
        </w:tc>
        <w:tc>
          <w:tcPr>
            <w:tcW w:type="dxa" w:w="2376"/>
            <w:shd w:fill="1F6FEB"/>
          </w:tcPr>
          <w:p>
            <w:r>
              <w:rPr>
                <w:b/>
                <w:color w:val="FFFFFF"/>
                <w:sz w:val="16"/>
              </w:rPr>
              <w:t>Resources / slides</w:t>
            </w:r>
          </w:p>
        </w:tc>
        <w:tc>
          <w:tcPr>
            <w:tcW w:type="dxa" w:w="2592"/>
            <w:shd w:fill="1F6FEB"/>
          </w:tcPr>
          <w:p>
            <w:r>
              <w:rPr>
                <w:b/>
                <w:color w:val="FFFFFF"/>
                <w:sz w:val="16"/>
              </w:rPr>
              <w:t>Evidence / check</w:t>
            </w:r>
          </w:p>
        </w:tc>
      </w:tr>
      <w:tr>
        <w:trPr>
          <w:trHeight w:hRule="atLeast"/>
        </w:trPr>
        <w:tc>
          <w:tcPr>
            <w:tcW w:type="dxa" w:w="1224"/>
            <w:vAlign w:val="top"/>
          </w:tcPr>
          <w:p>
            <w:r>
              <w:rPr>
                <w:rFonts w:ascii="Arial" w:hAnsi="Arial"/>
                <w:sz w:val="16"/>
              </w:rPr>
              <w:t>09:00–10:30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Arial" w:hAnsi="Arial"/>
                <w:sz w:val="16"/>
              </w:rPr>
              <w:t>1.5 h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Topic 3 concepts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sz w:val="16"/>
              </w:rPr>
              <w:t>FMEA purpose, types, seven-step method, failure chain, controls, S/O/D, RPN cautions, action priority and review triggers.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Arial" w:hAnsi="Arial"/>
                <w:sz w:val="16"/>
              </w:rPr>
              <w:t>Construct and critique failure chains; compare equal-RPN risk profiles.</w:t>
            </w:r>
          </w:p>
        </w:tc>
        <w:tc>
          <w:tcPr>
            <w:tcW w:type="dxa" w:w="2376"/>
            <w:vAlign w:val="top"/>
          </w:tcPr>
          <w:p>
            <w:r>
              <w:rPr>
                <w:rFonts w:ascii="Arial" w:hAnsi="Arial"/>
                <w:sz w:val="16"/>
              </w:rPr>
              <w:t>Slides 62–92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6"/>
              </w:rPr>
              <w:t>Coherent function–mode–effect–cause logic</w:t>
            </w:r>
          </w:p>
        </w:tc>
      </w:tr>
      <w:tr>
        <w:trPr>
          <w:trHeight w:hRule="atLeast"/>
        </w:trPr>
        <w:tc>
          <w:tcPr>
            <w:tcW w:type="dxa" w:w="1224"/>
            <w:vAlign w:val="top"/>
          </w:tcPr>
          <w:p>
            <w:r>
              <w:rPr>
                <w:rFonts w:ascii="Arial" w:hAnsi="Arial"/>
                <w:sz w:val="16"/>
              </w:rPr>
              <w:t>10:30–10:45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Short break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sz w:val="16"/>
              </w:rPr>
              <w:t>Refreshment break within the scheduled session.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Arial" w:hAnsi="Arial"/>
                <w:sz w:val="16"/>
              </w:rPr>
              <w:t>Return on time.</w:t>
            </w:r>
          </w:p>
        </w:tc>
        <w:tc>
          <w:tcPr>
            <w:tcW w:type="dxa" w:w="2376"/>
            <w:vAlign w:val="top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6"/>
              </w:rPr>
              <w:t>Attendance maintained</w:t>
            </w:r>
          </w:p>
        </w:tc>
      </w:tr>
      <w:tr>
        <w:trPr>
          <w:trHeight w:hRule="atLeast"/>
        </w:trPr>
        <w:tc>
          <w:tcPr>
            <w:tcW w:type="dxa" w:w="1224"/>
            <w:vAlign w:val="top"/>
          </w:tcPr>
          <w:p>
            <w:r>
              <w:rPr>
                <w:rFonts w:ascii="Arial" w:hAnsi="Arial"/>
                <w:sz w:val="16"/>
              </w:rPr>
              <w:t>10:45–12:30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Arial" w:hAnsi="Arial"/>
                <w:sz w:val="16"/>
              </w:rPr>
              <w:t>1.75 h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Activities 05–06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sz w:val="16"/>
              </w:rPr>
              <w:t>Build, rate and optimise the Orion PFMEA.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Arial" w:hAnsi="Arial"/>
                <w:sz w:val="16"/>
              </w:rPr>
              <w:t>Complete PFMEA rows, S/O/D rationale, RPN formulas, actions, ownership, verification and re-score.</w:t>
            </w:r>
          </w:p>
        </w:tc>
        <w:tc>
          <w:tcPr>
            <w:tcW w:type="dxa" w:w="2376"/>
            <w:vAlign w:val="top"/>
          </w:tcPr>
          <w:p>
            <w:r>
              <w:rPr>
                <w:rFonts w:ascii="Arial" w:hAnsi="Arial"/>
                <w:sz w:val="16"/>
              </w:rPr>
              <w:t>Slides 86–88; Slides 89–91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6"/>
              </w:rPr>
              <w:t>Rated PFMEA and evidence-based residual-risk decision</w:t>
            </w:r>
          </w:p>
        </w:tc>
      </w:tr>
      <w:tr>
        <w:trPr>
          <w:trHeight w:hRule="atLeast"/>
        </w:trPr>
        <w:tc>
          <w:tcPr>
            <w:tcW w:type="dxa" w:w="1224"/>
            <w:vAlign w:val="top"/>
          </w:tcPr>
          <w:p>
            <w:r>
              <w:rPr>
                <w:rFonts w:ascii="Arial" w:hAnsi="Arial"/>
                <w:sz w:val="16"/>
              </w:rPr>
              <w:t>12:30–13:30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Arial" w:hAnsi="Arial"/>
                <w:sz w:val="16"/>
              </w:rPr>
              <w:t>Not counted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Lunch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sz w:val="16"/>
              </w:rPr>
              <w:t>Lunch break.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2376"/>
            <w:vAlign w:val="top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rPr>
          <w:trHeight w:hRule="atLeast"/>
        </w:trPr>
        <w:tc>
          <w:tcPr>
            <w:tcW w:type="dxa" w:w="1224"/>
            <w:vAlign w:val="top"/>
          </w:tcPr>
          <w:p>
            <w:r>
              <w:rPr>
                <w:rFonts w:ascii="Arial" w:hAnsi="Arial"/>
                <w:sz w:val="16"/>
              </w:rPr>
              <w:t>13:30–14:30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Arial" w:hAnsi="Arial"/>
                <w:sz w:val="16"/>
              </w:rPr>
              <w:t>1.0 h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Topic 4 + Activities 07–08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sz w:val="16"/>
              </w:rPr>
              <w:t>Select, pilot and direct risk-reduction actions with transparent criteria and coaching safeguards.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Arial" w:hAnsi="Arial"/>
                <w:sz w:val="16"/>
              </w:rPr>
              <w:t>Use weighted/Pugh comparison; draft a bounded pilot and coaching plan.</w:t>
            </w:r>
          </w:p>
        </w:tc>
        <w:tc>
          <w:tcPr>
            <w:tcW w:type="dxa" w:w="2376"/>
            <w:vAlign w:val="top"/>
          </w:tcPr>
          <w:p>
            <w:r>
              <w:rPr>
                <w:rFonts w:ascii="Arial" w:hAnsi="Arial"/>
                <w:sz w:val="16"/>
              </w:rPr>
              <w:t>Slides 93–116; Slides 110–112; Slides 113–115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6"/>
              </w:rPr>
              <w:t>Recommendation and scale/revise/stop rule</w:t>
            </w:r>
          </w:p>
        </w:tc>
      </w:tr>
      <w:tr>
        <w:trPr>
          <w:trHeight w:hRule="atLeast"/>
        </w:trPr>
        <w:tc>
          <w:tcPr>
            <w:tcW w:type="dxa" w:w="1224"/>
            <w:vAlign w:val="top"/>
          </w:tcPr>
          <w:p>
            <w:r>
              <w:rPr>
                <w:rFonts w:ascii="Arial" w:hAnsi="Arial"/>
                <w:sz w:val="16"/>
              </w:rPr>
              <w:t>14:30–15:30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Arial" w:hAnsi="Arial"/>
                <w:sz w:val="16"/>
              </w:rPr>
              <w:t>1.0 h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Topic 5 + Activities 09–10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sz w:val="16"/>
              </w:rPr>
              <w:t>Variation, stability, capability, SPC signals, Control Plan, reaction plan and closed-loop review.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Arial" w:hAnsi="Arial"/>
                <w:sz w:val="16"/>
              </w:rPr>
              <w:t>Interpret a control chart; calculate capability; complete traceable operational controls.</w:t>
            </w:r>
          </w:p>
        </w:tc>
        <w:tc>
          <w:tcPr>
            <w:tcW w:type="dxa" w:w="2376"/>
            <w:vAlign w:val="top"/>
          </w:tcPr>
          <w:p>
            <w:r>
              <w:rPr>
                <w:rFonts w:ascii="Arial" w:hAnsi="Arial"/>
                <w:sz w:val="16"/>
              </w:rPr>
              <w:t>Slides 117–139; Slides 133–135; Slides 136–138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6"/>
              </w:rPr>
              <w:t>Evaluation statement and deployable Control Plan</w:t>
            </w:r>
          </w:p>
        </w:tc>
      </w:tr>
      <w:tr>
        <w:trPr>
          <w:trHeight w:hRule="atLeast"/>
        </w:trPr>
        <w:tc>
          <w:tcPr>
            <w:tcW w:type="dxa" w:w="1224"/>
            <w:vAlign w:val="top"/>
          </w:tcPr>
          <w:p>
            <w:r>
              <w:rPr>
                <w:rFonts w:ascii="Arial" w:hAnsi="Arial"/>
                <w:sz w:val="16"/>
              </w:rPr>
              <w:t>15:30–16:30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Arial" w:hAnsi="Arial"/>
                <w:sz w:val="16"/>
              </w:rPr>
              <w:t>1.0 h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Written Assessment (SAQ)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sz w:val="16"/>
              </w:rPr>
              <w:t>Four open-ended questions covering K1–K4.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Arial" w:hAnsi="Arial"/>
                <w:sz w:val="16"/>
              </w:rPr>
              <w:t>Individual, open book under assessment conditions.</w:t>
            </w:r>
          </w:p>
        </w:tc>
        <w:tc>
          <w:tcPr>
            <w:tcW w:type="dxa" w:w="2376"/>
            <w:vAlign w:val="top"/>
          </w:tcPr>
          <w:p>
            <w:r>
              <w:rPr>
                <w:rFonts w:ascii="Arial" w:hAnsi="Arial"/>
                <w:sz w:val="16"/>
              </w:rPr>
              <w:t>WA paper; LMS link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6"/>
              </w:rPr>
              <w:t>Completed WA responses</w:t>
            </w:r>
          </w:p>
        </w:tc>
      </w:tr>
      <w:tr>
        <w:trPr>
          <w:trHeight w:hRule="atLeast"/>
        </w:trPr>
        <w:tc>
          <w:tcPr>
            <w:tcW w:type="dxa" w:w="1224"/>
            <w:vAlign w:val="top"/>
          </w:tcPr>
          <w:p>
            <w:r>
              <w:rPr>
                <w:rFonts w:ascii="Arial" w:hAnsi="Arial"/>
                <w:sz w:val="16"/>
              </w:rPr>
              <w:t>16:30–18:00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Arial" w:hAnsi="Arial"/>
                <w:sz w:val="16"/>
              </w:rPr>
              <w:t>1.5 h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Practical Performance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sz w:val="16"/>
              </w:rPr>
              <w:t>Five connected tasks covering A1–A10.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Arial" w:hAnsi="Arial"/>
                <w:sz w:val="16"/>
              </w:rPr>
              <w:t>Individual completion of assigned practical evidence; submit and sign the Assessment Summary Record.</w:t>
            </w:r>
          </w:p>
        </w:tc>
        <w:tc>
          <w:tcPr>
            <w:tcW w:type="dxa" w:w="2376"/>
            <w:vAlign w:val="top"/>
          </w:tcPr>
          <w:p>
            <w:r>
              <w:rPr>
                <w:rFonts w:ascii="Arial" w:hAnsi="Arial"/>
                <w:sz w:val="16"/>
              </w:rPr>
              <w:t>PP paper; activity workbooks; LMS link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6"/>
              </w:rPr>
              <w:t>Completed practical evidence and signed record</w:t>
            </w:r>
          </w:p>
        </w:tc>
      </w:tr>
    </w:tbl>
    <w:p>
      <w:r>
        <w:rPr>
          <w:b/>
          <w:color w:val="1F6FEB"/>
        </w:rPr>
        <w:t>Day 2 total: 5.5 training + 2.5 assessment = 8.0 hours</w:t>
      </w:r>
    </w:p>
    <w:p>
      <w:r>
        <w:br w:type="page"/>
      </w:r>
    </w:p>
    <w:p>
      <w:pPr>
        <w:pStyle w:val="Heading1"/>
      </w:pPr>
      <w:r>
        <w:t>Assessment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shd w:fill="1F6FEB"/>
          </w:tcPr>
          <w:p>
            <w:r>
              <w:rPr>
                <w:b/>
                <w:color w:val="FFFFFF"/>
              </w:rPr>
              <w:t>Instrument</w:t>
            </w:r>
          </w:p>
        </w:tc>
        <w:tc>
          <w:tcPr>
            <w:tcW w:type="dxa" w:w="2851"/>
            <w:shd w:fill="1F6FEB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851"/>
            <w:shd w:fill="1F6FEB"/>
          </w:tcPr>
          <w:p>
            <w:r>
              <w:rPr>
                <w:b/>
                <w:color w:val="FFFFFF"/>
              </w:rPr>
              <w:t>Coverage</w:t>
            </w:r>
          </w:p>
        </w:tc>
        <w:tc>
          <w:tcPr>
            <w:tcW w:type="dxa" w:w="2851"/>
            <w:shd w:fill="1F6FEB"/>
          </w:tcPr>
          <w:p>
            <w:r>
              <w:rPr>
                <w:b/>
                <w:color w:val="FFFFFF"/>
              </w:rPr>
              <w:t>Conditions</w:t>
            </w:r>
          </w:p>
        </w:tc>
        <w:tc>
          <w:tcPr>
            <w:tcW w:type="dxa" w:w="2851"/>
            <w:shd w:fill="1F6FEB"/>
          </w:tcPr>
          <w:p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2851"/>
          </w:tcPr>
          <w:p>
            <w:r>
              <w:t>Written Assessment (SAQ)</w:t>
            </w:r>
          </w:p>
        </w:tc>
        <w:tc>
          <w:tcPr>
            <w:tcW w:type="dxa" w:w="2851"/>
          </w:tcPr>
          <w:p>
            <w:r>
              <w:t>60 min</w:t>
            </w:r>
          </w:p>
        </w:tc>
        <w:tc>
          <w:tcPr>
            <w:tcW w:type="dxa" w:w="2851"/>
          </w:tcPr>
          <w:p>
            <w:r>
              <w:t>K1–K4</w:t>
            </w:r>
          </w:p>
        </w:tc>
        <w:tc>
          <w:tcPr>
            <w:tcW w:type="dxa" w:w="2851"/>
          </w:tcPr>
          <w:p>
            <w:r>
              <w:t>Individual; open book</w:t>
            </w:r>
          </w:p>
        </w:tc>
        <w:tc>
          <w:tcPr>
            <w:tcW w:type="dxa" w:w="2851"/>
          </w:tcPr>
          <w:p>
            <w:r>
              <w:t>Four written responses</w:t>
            </w:r>
          </w:p>
        </w:tc>
      </w:tr>
      <w:tr>
        <w:tc>
          <w:tcPr>
            <w:tcW w:type="dxa" w:w="2851"/>
          </w:tcPr>
          <w:p>
            <w:r>
              <w:t>Practical Performance</w:t>
            </w:r>
          </w:p>
        </w:tc>
        <w:tc>
          <w:tcPr>
            <w:tcW w:type="dxa" w:w="2851"/>
          </w:tcPr>
          <w:p>
            <w:r>
              <w:t>90 min</w:t>
            </w:r>
          </w:p>
        </w:tc>
        <w:tc>
          <w:tcPr>
            <w:tcW w:type="dxa" w:w="2851"/>
          </w:tcPr>
          <w:p>
            <w:r>
              <w:t>A1–A10</w:t>
            </w:r>
          </w:p>
        </w:tc>
        <w:tc>
          <w:tcPr>
            <w:tcW w:type="dxa" w:w="2851"/>
          </w:tcPr>
          <w:p>
            <w:r>
              <w:t>Individual; use supplied files</w:t>
            </w:r>
          </w:p>
        </w:tc>
        <w:tc>
          <w:tcPr>
            <w:tcW w:type="dxa" w:w="2851"/>
          </w:tcPr>
          <w:p>
            <w:r>
              <w:t>Five task outputs and assessor record</w:t>
            </w:r>
          </w:p>
        </w:tc>
      </w:tr>
    </w:tbl>
    <w:p>
      <w:pPr>
        <w:pStyle w:val="Heading1"/>
      </w:pPr>
      <w:r>
        <w:t>Facilitator Preparation</w:t>
      </w:r>
    </w:p>
    <w:p>
      <w:pPr>
        <w:pStyle w:val="ListBullet"/>
      </w:pPr>
      <w:r>
        <w:t>Verify digital-attendance access and learner materials before class.</w:t>
      </w:r>
    </w:p>
    <w:p>
      <w:pPr>
        <w:pStyle w:val="ListBullet"/>
      </w:pPr>
      <w:r>
        <w:t>Download the current deck, Learner Guide and all ten activity folders.</w:t>
      </w:r>
    </w:p>
    <w:p>
      <w:pPr>
        <w:pStyle w:val="ListBullet"/>
      </w:pPr>
      <w:r>
        <w:t>Check Microsoft Excel can open, calculate and save the supplied files.</w:t>
      </w:r>
    </w:p>
    <w:p>
      <w:pPr>
        <w:pStyle w:val="ListBullet"/>
      </w:pPr>
      <w:r>
        <w:t>Keep answer keys trainer-only and distribute only candidate papers at assessment.</w:t>
      </w:r>
    </w:p>
    <w:p>
      <w:pPr>
        <w:pStyle w:val="ListBullet"/>
      </w:pPr>
      <w:r>
        <w:t>After every activity, review the stated acceptance criterion and evidence—not only template completion.</w:t>
      </w:r>
    </w:p>
    <w:sectPr w:rsidR="00FC693F" w:rsidRPr="0006063C" w:rsidSect="00034616">
      <w:footerReference w:type="default" r:id="rId10"/>
      <w:pgSz w:w="15840" w:h="12240" w:orient="landscape"/>
      <w:pgMar w:top="936" w:right="792" w:bottom="103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