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Develop Blockchain and Web3 App with Vibe Coding</w:t>
      </w:r>
    </w:p>
    <w:p>
      <w:pPr>
        <w:spacing w:before="80" w:after="280"/>
        <w:jc w:val="center"/>
      </w:pPr>
      <w:r>
        <w:rPr>
          <w:b w:val="0"/>
          <w:color w:val="111827"/>
          <w:sz w:val="24"/>
        </w:rPr>
        <w:t>TGS Ref No: TGS-2021009338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v18.1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F6FEB"/>
          </w:tcPr>
          <w:p>
            <w:r/>
            <w:r>
              <w:rPr>
                <w:b/>
                <w:color w:val="FFFFFF"/>
                <w:sz w:val="19"/>
              </w:rPr>
              <w:t>Version Number</w:t>
            </w:r>
          </w:p>
        </w:tc>
        <w:tc>
          <w:tcPr>
            <w:tcW w:type="dxa" w:w="2520"/>
            <w:shd w:val="clear" w:color="auto" w:fill="1F6FEB"/>
          </w:tcPr>
          <w:p>
            <w:r/>
            <w:r>
              <w:rPr>
                <w:b/>
                <w:color w:val="FFFFFF"/>
                <w:sz w:val="19"/>
              </w:rPr>
              <w:t>Effective Date of Release</w:t>
            </w:r>
          </w:p>
        </w:tc>
        <w:tc>
          <w:tcPr>
            <w:tcW w:type="dxa" w:w="2520"/>
            <w:shd w:val="clear" w:color="auto" w:fill="1F6FEB"/>
          </w:tcPr>
          <w:p>
            <w:r/>
            <w:r>
              <w:rPr>
                <w:b/>
                <w:color w:val="FFFFFF"/>
                <w:sz w:val="19"/>
              </w:rPr>
              <w:t>Summary of Included Changes</w:t>
            </w:r>
          </w:p>
        </w:tc>
        <w:tc>
          <w:tcPr>
            <w:tcW w:type="dxa" w:w="2520"/>
            <w:shd w:val="clear" w:color="auto" w:fill="1F6FEB"/>
          </w:tcPr>
          <w:p>
            <w:r/>
            <w:r>
              <w:rPr>
                <w:b/>
                <w:color w:val="FFFFFF"/>
                <w:sz w:val="19"/>
              </w:rPr>
              <w:t>Author</w:t>
            </w:r>
          </w:p>
        </w:tc>
      </w:tr>
      <w:tr>
        <w:tc>
          <w:tcPr>
            <w:tcW w:type="dxa" w:w="2520"/>
          </w:tcPr>
          <w:p>
            <w:r/>
            <w:r>
              <w:rPr>
                <w:sz w:val="19"/>
              </w:rPr>
              <w:t>17.0</w:t>
            </w:r>
          </w:p>
        </w:tc>
        <w:tc>
          <w:tcPr>
            <w:tcW w:type="dxa" w:w="2520"/>
          </w:tcPr>
          <w:p>
            <w:r/>
            <w:r>
              <w:rPr>
                <w:sz w:val="19"/>
              </w:rPr>
              <w:t>Original source</w:t>
            </w:r>
          </w:p>
        </w:tc>
        <w:tc>
          <w:tcPr>
            <w:tcW w:type="dxa" w:w="2520"/>
          </w:tcPr>
          <w:p>
            <w:r/>
            <w:r>
              <w:rPr>
                <w:sz w:val="19"/>
              </w:rPr>
              <w:t>Original trainer slides and approved assessment content</w:t>
            </w:r>
          </w:p>
        </w:tc>
        <w:tc>
          <w:tcPr>
            <w:tcW w:type="dxa" w:w="2520"/>
          </w:tcPr>
          <w:p>
            <w:r/>
            <w:r>
              <w:rPr>
                <w:sz w:val="19"/>
              </w:rPr>
              <w:t>Tertiary Infotech Academy</w:t>
            </w:r>
          </w:p>
        </w:tc>
      </w:tr>
      <w:tr>
        <w:tc>
          <w:tcPr>
            <w:tcW w:type="dxa" w:w="2520"/>
          </w:tcPr>
          <w:p>
            <w:r/>
            <w:r>
              <w:rPr>
                <w:sz w:val="19"/>
              </w:rPr>
              <w:t>v18.0</w:t>
            </w:r>
          </w:p>
        </w:tc>
        <w:tc>
          <w:tcPr>
            <w:tcW w:type="dxa" w:w="2520"/>
          </w:tcPr>
          <w:p>
            <w:r/>
            <w:r>
              <w:rPr>
                <w:sz w:val="19"/>
              </w:rPr>
              <w:t>13 September 2026</w:t>
            </w:r>
          </w:p>
        </w:tc>
        <w:tc>
          <w:tcPr>
            <w:tcW w:type="dxa" w:w="2520"/>
          </w:tcPr>
          <w:p>
            <w:r/>
            <w:r>
              <w:rPr>
                <w:sz w:val="19"/>
              </w:rPr>
              <w:t>Technical rebuild, 12 executable activities and visual source mapping</w:t>
            </w:r>
          </w:p>
        </w:tc>
        <w:tc>
          <w:tcPr>
            <w:tcW w:type="dxa" w:w="2520"/>
          </w:tcPr>
          <w:p>
            <w:r/>
            <w:r>
              <w:rPr>
                <w:sz w:val="19"/>
              </w:rPr>
              <w:t>Tertiary Infotech Academy</w:t>
            </w:r>
          </w:p>
        </w:tc>
      </w:tr>
      <w:tr>
        <w:tc>
          <w:tcPr>
            <w:tcW w:type="dxa" w:w="2520"/>
          </w:tcPr>
          <w:p>
            <w:r/>
            <w:r>
              <w:rPr>
                <w:sz w:val="19"/>
              </w:rPr>
              <w:t>v18.1</w:t>
            </w:r>
          </w:p>
        </w:tc>
        <w:tc>
          <w:tcPr>
            <w:tcW w:type="dxa" w:w="2520"/>
          </w:tcPr>
          <w:p>
            <w:r/>
            <w:r>
              <w:rPr>
                <w:sz w:val="19"/>
              </w:rPr>
              <w:t>13 September 2026</w:t>
            </w:r>
          </w:p>
        </w:tc>
        <w:tc>
          <w:tcPr>
            <w:tcW w:type="dxa" w:w="2520"/>
          </w:tcPr>
          <w:p>
            <w:r/>
            <w:r>
              <w:rPr>
                <w:sz w:val="19"/>
              </w:rPr>
              <w:t>Kept legacy procedures in notes/LG; concept-led slides and aligned final release</w:t>
            </w:r>
          </w:p>
        </w:tc>
        <w:tc>
          <w:tcPr>
            <w:tcW w:type="dxa" w:w="2520"/>
          </w:tcPr>
          <w:p>
            <w:r/>
            <w:r>
              <w:rPr>
                <w:sz w:val="19"/>
              </w:rPr>
              <w:t>Tertiary Infotech Academy</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Course delivery and assessment</w:t>
      </w:r>
    </w:p>
    <w:p>
      <w:r>
        <w:t>Develop Blockchain and Web3 App with Vibe Coding (TGS-2021009338) is delivered across two days and 16 programme hours (13.5 training and 2.5 assessment). Approved assessment plan durations are WA60 minutes and PP90 minutes separately. Public-page assessment-hours discrepancy requires provider reconciliation; the original approved instruments are retained.</w:t>
      </w:r>
    </w:p>
    <w:p>
      <w:pPr>
        <w:pStyle w:val="Heading1"/>
      </w:pPr>
      <w:r>
        <w:t>Learning outcomes and mapping</w:t>
      </w:r>
    </w:p>
    <w:p>
      <w:r>
        <w:t>LO1: Analyze business requirements for Blockchain, Cryptocurrency, Smart Contract and Token Economics.</w:t>
      </w:r>
    </w:p>
    <w:p>
      <w:r>
        <w:t>LO2: Code smart contract for Ethereum blockchain using Solidity programming.</w:t>
      </w:r>
    </w:p>
    <w:p>
      <w:r>
        <w:t>LO3: Test smart contract and monitor its outputs.</w:t>
      </w:r>
    </w:p>
    <w:p>
      <w:r>
        <w:t>LO4: Deploy smart contract and ensure coding documentation is accurate.</w:t>
      </w:r>
    </w:p>
    <w:p>
      <w:r>
        <w:t>Topic 1 Blockchain, Cryptocurrency, Smart Contract and Token Economics — A1, K1, K2</w:t>
      </w:r>
    </w:p>
    <w:p>
      <w:r>
        <w:t>Topic 2 Ethereum Blockchain and Solidity Programming — A2, A3, K3</w:t>
      </w:r>
    </w:p>
    <w:p>
      <w:r>
        <w:t>Topic 3 Smart Contract Testing — A4, A5, K4</w:t>
      </w:r>
    </w:p>
    <w:p>
      <w:r>
        <w:t>Topic 4 Smart Contract Deployment — A6, A7, K5</w:t>
      </w:r>
    </w:p>
    <w:p>
      <w:pPr>
        <w:pStyle w:val="Heading1"/>
      </w:pPr>
      <w:r>
        <w:t>Day 1 instructional schedule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Session</w:t>
            </w:r>
          </w:p>
        </w:tc>
        <w:tc>
          <w:tcPr>
            <w:tcW w:type="dxa" w:w="2520"/>
          </w:tcPr>
          <w:p>
            <w:r>
              <w:t>Minutes</w:t>
            </w:r>
          </w:p>
        </w:tc>
        <w:tc>
          <w:tcPr>
            <w:tcW w:type="dxa" w:w="2520"/>
          </w:tcPr>
          <w:p>
            <w:r>
              <w:t>Slides</w:t>
            </w:r>
          </w:p>
        </w:tc>
        <w:tc>
          <w:tcPr>
            <w:tcW w:type="dxa" w:w="2520"/>
          </w:tcPr>
          <w:p>
            <w:r>
              <w:t>Method and evidence</w:t>
            </w:r>
          </w:p>
        </w:tc>
      </w:tr>
      <w:tr>
        <w:tc>
          <w:tcPr>
            <w:tcW w:type="dxa" w:w="2520"/>
          </w:tcPr>
          <w:p>
            <w:r>
              <w:t>Attendance / learner briefing</w:t>
            </w:r>
          </w:p>
        </w:tc>
        <w:tc>
          <w:tcPr>
            <w:tcW w:type="dxa" w:w="2520"/>
          </w:tcPr>
          <w:p>
            <w:r>
              <w:t>30</w:t>
            </w:r>
          </w:p>
        </w:tc>
        <w:tc>
          <w:tcPr>
            <w:tcW w:type="dxa" w:w="2520"/>
          </w:tcPr>
          <w:p>
            <w:r>
              <w:t>2–13</w:t>
            </w:r>
          </w:p>
        </w:tc>
        <w:tc>
          <w:tcPr>
            <w:tcW w:type="dxa" w:w="2520"/>
          </w:tcPr>
          <w:p>
            <w:r>
              <w:t>Trainer verifies identity, download access and learning goals.</w:t>
            </w:r>
          </w:p>
        </w:tc>
      </w:tr>
      <w:tr>
        <w:tc>
          <w:tcPr>
            <w:tcW w:type="dxa" w:w="2520"/>
          </w:tcPr>
          <w:p>
            <w:r>
              <w:t>Topic 1 mechanism instruction</w:t>
            </w:r>
          </w:p>
        </w:tc>
        <w:tc>
          <w:tcPr>
            <w:tcW w:type="dxa" w:w="2520"/>
          </w:tcPr>
          <w:p>
            <w:r>
              <w:t>120</w:t>
            </w:r>
          </w:p>
        </w:tc>
        <w:tc>
          <w:tcPr>
            <w:tcW w:type="dxa" w:w="2520"/>
          </w:tcPr>
          <w:p>
            <w:r>
              <w:t>13–75</w:t>
            </w:r>
          </w:p>
        </w:tc>
        <w:tc>
          <w:tcPr>
            <w:tcW w:type="dxa" w:w="2520"/>
          </w:tcPr>
          <w:p>
            <w:r>
              <w:t>Source material, exact contracts, architecture, failure controls and observable evidence.</w:t>
            </w:r>
          </w:p>
        </w:tc>
      </w:tr>
      <w:tr>
        <w:tc>
          <w:tcPr>
            <w:tcW w:type="dxa" w:w="2520"/>
          </w:tcPr>
          <w:p>
            <w:r>
              <w:t>Topic 2 mechanism instruction</w:t>
            </w:r>
          </w:p>
        </w:tc>
        <w:tc>
          <w:tcPr>
            <w:tcW w:type="dxa" w:w="2520"/>
          </w:tcPr>
          <w:p>
            <w:r>
              <w:t>120</w:t>
            </w:r>
          </w:p>
        </w:tc>
        <w:tc>
          <w:tcPr>
            <w:tcW w:type="dxa" w:w="2520"/>
          </w:tcPr>
          <w:p>
            <w:r>
              <w:t>76–262</w:t>
            </w:r>
          </w:p>
        </w:tc>
        <w:tc>
          <w:tcPr>
            <w:tcW w:type="dxa" w:w="2520"/>
          </w:tcPr>
          <w:p>
            <w:r>
              <w:t>Source material, exact contracts, architecture, failure controls and observable evidence.</w:t>
            </w:r>
          </w:p>
        </w:tc>
      </w:tr>
      <w:tr>
        <w:tc>
          <w:tcPr>
            <w:tcW w:type="dxa" w:w="2520"/>
          </w:tcPr>
          <w:p>
            <w:r>
              <w:t>Activity 01 Hash and anchor certificate evidence</w:t>
            </w:r>
          </w:p>
        </w:tc>
        <w:tc>
          <w:tcPr>
            <w:tcW w:type="dxa" w:w="2520"/>
          </w:tcPr>
          <w:p>
            <w:r>
              <w:t>35</w:t>
            </w:r>
          </w:p>
        </w:tc>
        <w:tc>
          <w:tcPr>
            <w:tcW w:type="dxa" w:w="2520"/>
          </w:tcPr>
          <w:p>
            <w:r>
              <w:t>65–69</w:t>
            </w:r>
          </w:p>
        </w:tc>
        <w:tc>
          <w:tcPr>
            <w:tcW w:type="dxa" w:w="2520"/>
          </w:tcPr>
          <w:p>
            <w:r>
              <w:t>Individual build/test evidence, pair code review and requirement mapping.</w:t>
            </w:r>
          </w:p>
        </w:tc>
      </w:tr>
      <w:tr>
        <w:tc>
          <w:tcPr>
            <w:tcW w:type="dxa" w:w="2520"/>
          </w:tcPr>
          <w:p>
            <w:r>
              <w:t>Activity 02 Map buyer requirements to Ether escrow</w:t>
            </w:r>
          </w:p>
        </w:tc>
        <w:tc>
          <w:tcPr>
            <w:tcW w:type="dxa" w:w="2520"/>
          </w:tcPr>
          <w:p>
            <w:r>
              <w:t>35</w:t>
            </w:r>
          </w:p>
        </w:tc>
        <w:tc>
          <w:tcPr>
            <w:tcW w:type="dxa" w:w="2520"/>
          </w:tcPr>
          <w:p>
            <w:r>
              <w:t>70–74</w:t>
            </w:r>
          </w:p>
        </w:tc>
        <w:tc>
          <w:tcPr>
            <w:tcW w:type="dxa" w:w="2520"/>
          </w:tcPr>
          <w:p>
            <w:r>
              <w:t>Individual build/test evidence, pair code review and requirement mapping.</w:t>
            </w:r>
          </w:p>
        </w:tc>
      </w:tr>
      <w:tr>
        <w:tc>
          <w:tcPr>
            <w:tcW w:type="dxa" w:w="2520"/>
          </w:tcPr>
          <w:p>
            <w:r>
              <w:t>Activity 03 Compile and review a supplier purchase order</w:t>
            </w:r>
          </w:p>
        </w:tc>
        <w:tc>
          <w:tcPr>
            <w:tcW w:type="dxa" w:w="2520"/>
          </w:tcPr>
          <w:p>
            <w:r>
              <w:t>35</w:t>
            </w:r>
          </w:p>
        </w:tc>
        <w:tc>
          <w:tcPr>
            <w:tcW w:type="dxa" w:w="2520"/>
          </w:tcPr>
          <w:p>
            <w:r>
              <w:t>153–157</w:t>
            </w:r>
          </w:p>
        </w:tc>
        <w:tc>
          <w:tcPr>
            <w:tcW w:type="dxa" w:w="2520"/>
          </w:tcPr>
          <w:p>
            <w:r>
              <w:t>Individual build/test evidence, pair code review and requirement mapping.</w:t>
            </w:r>
          </w:p>
        </w:tc>
      </w:tr>
      <w:tr>
        <w:tc>
          <w:tcPr>
            <w:tcW w:type="dxa" w:w="2520"/>
          </w:tcPr>
          <w:p>
            <w:r>
              <w:t>Activity 04 Issue and transfer ERC-20 workshop credits</w:t>
            </w:r>
          </w:p>
        </w:tc>
        <w:tc>
          <w:tcPr>
            <w:tcW w:type="dxa" w:w="2520"/>
          </w:tcPr>
          <w:p>
            <w:r>
              <w:t>35</w:t>
            </w:r>
          </w:p>
        </w:tc>
        <w:tc>
          <w:tcPr>
            <w:tcW w:type="dxa" w:w="2520"/>
          </w:tcPr>
          <w:p>
            <w:r>
              <w:t>158–162</w:t>
            </w:r>
          </w:p>
        </w:tc>
        <w:tc>
          <w:tcPr>
            <w:tcW w:type="dxa" w:w="2520"/>
          </w:tcPr>
          <w:p>
            <w:r>
              <w:t>Individual build/test evidence, pair code review and requirement mapping.</w:t>
            </w:r>
          </w:p>
        </w:tc>
      </w:tr>
      <w:tr>
        <w:tc>
          <w:tcPr>
            <w:tcW w:type="dxa" w:w="2520"/>
          </w:tcPr>
          <w:p>
            <w:r>
              <w:t>Activity 05 Issue and revoke ERC-721 course certificates</w:t>
            </w:r>
          </w:p>
        </w:tc>
        <w:tc>
          <w:tcPr>
            <w:tcW w:type="dxa" w:w="2520"/>
          </w:tcPr>
          <w:p>
            <w:r>
              <w:t>35</w:t>
            </w:r>
          </w:p>
        </w:tc>
        <w:tc>
          <w:tcPr>
            <w:tcW w:type="dxa" w:w="2520"/>
          </w:tcPr>
          <w:p>
            <w:r>
              <w:t>163–167</w:t>
            </w:r>
          </w:p>
        </w:tc>
        <w:tc>
          <w:tcPr>
            <w:tcW w:type="dxa" w:w="2520"/>
          </w:tcPr>
          <w:p>
            <w:r>
              <w:t>Individual build/test evidence, pair code review and requirement mapping.</w:t>
            </w:r>
          </w:p>
        </w:tc>
      </w:tr>
      <w:tr>
        <w:tc>
          <w:tcPr>
            <w:tcW w:type="dxa" w:w="2520"/>
          </w:tcPr>
          <w:p>
            <w:r>
              <w:t>Activity 06 Track custody for pharmaceutical batches</w:t>
            </w:r>
          </w:p>
        </w:tc>
        <w:tc>
          <w:tcPr>
            <w:tcW w:type="dxa" w:w="2520"/>
          </w:tcPr>
          <w:p>
            <w:r>
              <w:t>35</w:t>
            </w:r>
          </w:p>
        </w:tc>
        <w:tc>
          <w:tcPr>
            <w:tcW w:type="dxa" w:w="2520"/>
          </w:tcPr>
          <w:p>
            <w:r>
              <w:t>168–172</w:t>
            </w:r>
          </w:p>
        </w:tc>
        <w:tc>
          <w:tcPr>
            <w:tcW w:type="dxa" w:w="2520"/>
          </w:tcPr>
          <w:p>
            <w:r>
              <w:t>Individual build/test evidence, pair code review and requirement mapping.</w:t>
            </w:r>
          </w:p>
        </w:tc>
      </w:tr>
      <w:tr>
        <w:tc>
          <w:tcPr>
            <w:tcW w:type="dxa" w:w="2520"/>
          </w:tcPr>
          <w:p>
            <w:r>
              <w:t>Evidence handover and consolidation</w:t>
            </w:r>
          </w:p>
        </w:tc>
        <w:tc>
          <w:tcPr>
            <w:tcW w:type="dxa" w:w="2520"/>
          </w:tcPr>
          <w:p>
            <w:r>
              <w:t>0</w:t>
            </w:r>
          </w:p>
        </w:tc>
        <w:tc>
          <w:tcPr>
            <w:tcW w:type="dxa" w:w="2520"/>
          </w:tcPr>
          <w:p>
            <w:r>
              <w:t>262–264</w:t>
            </w:r>
          </w:p>
        </w:tc>
        <w:tc>
          <w:tcPr>
            <w:tcW w:type="dxa" w:w="2520"/>
          </w:tcPr>
          <w:p>
            <w:r>
              <w:t>Reconcile requirements, outputs, documentation and remaining verification boundaries.</w:t>
            </w:r>
          </w:p>
        </w:tc>
      </w:tr>
    </w:tbl>
    <w:p>
      <w:r>
        <w:t>Instructional total: 480 minutes. Day1:480 minutes instruction; Day2:330 minutes instruction +150 assessment. Lunch and comfort breaks are scheduled outside programme contact time. Trainer records AM/PM digital attendance.</w:t>
      </w:r>
    </w:p>
    <w:p>
      <w:pPr>
        <w:pStyle w:val="Heading1"/>
      </w:pPr>
      <w:r>
        <w:t>Day 2 instructional schedule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Session</w:t>
            </w:r>
          </w:p>
        </w:tc>
        <w:tc>
          <w:tcPr>
            <w:tcW w:type="dxa" w:w="2520"/>
          </w:tcPr>
          <w:p>
            <w:r>
              <w:t>Minutes</w:t>
            </w:r>
          </w:p>
        </w:tc>
        <w:tc>
          <w:tcPr>
            <w:tcW w:type="dxa" w:w="2520"/>
          </w:tcPr>
          <w:p>
            <w:r>
              <w:t>Slides</w:t>
            </w:r>
          </w:p>
        </w:tc>
        <w:tc>
          <w:tcPr>
            <w:tcW w:type="dxa" w:w="2520"/>
          </w:tcPr>
          <w:p>
            <w:r>
              <w:t>Method and evidence</w:t>
            </w:r>
          </w:p>
        </w:tc>
      </w:tr>
      <w:tr>
        <w:tc>
          <w:tcPr>
            <w:tcW w:type="dxa" w:w="2520"/>
          </w:tcPr>
          <w:p>
            <w:r>
              <w:t>Attendance / learner briefing</w:t>
            </w:r>
          </w:p>
        </w:tc>
        <w:tc>
          <w:tcPr>
            <w:tcW w:type="dxa" w:w="2520"/>
          </w:tcPr>
          <w:p>
            <w:r>
              <w:t>30</w:t>
            </w:r>
          </w:p>
        </w:tc>
        <w:tc>
          <w:tcPr>
            <w:tcW w:type="dxa" w:w="2520"/>
          </w:tcPr>
          <w:p>
            <w:r>
              <w:t>2–13</w:t>
            </w:r>
          </w:p>
        </w:tc>
        <w:tc>
          <w:tcPr>
            <w:tcW w:type="dxa" w:w="2520"/>
          </w:tcPr>
          <w:p>
            <w:r>
              <w:t>Trainer verifies identity, download access and learning goals.</w:t>
            </w:r>
          </w:p>
        </w:tc>
      </w:tr>
      <w:tr>
        <w:tc>
          <w:tcPr>
            <w:tcW w:type="dxa" w:w="2520"/>
          </w:tcPr>
          <w:p>
            <w:r>
              <w:t>Topic 3 mechanism instruction</w:t>
            </w:r>
          </w:p>
        </w:tc>
        <w:tc>
          <w:tcPr>
            <w:tcW w:type="dxa" w:w="2520"/>
          </w:tcPr>
          <w:p>
            <w:r>
              <w:t>30</w:t>
            </w:r>
          </w:p>
        </w:tc>
        <w:tc>
          <w:tcPr>
            <w:tcW w:type="dxa" w:w="2520"/>
          </w:tcPr>
          <w:p>
            <w:r>
              <w:t>174–227</w:t>
            </w:r>
          </w:p>
        </w:tc>
        <w:tc>
          <w:tcPr>
            <w:tcW w:type="dxa" w:w="2520"/>
          </w:tcPr>
          <w:p>
            <w:r>
              <w:t>Source material, exact contracts, architecture, failure controls and observable evidence.</w:t>
            </w:r>
          </w:p>
        </w:tc>
      </w:tr>
      <w:tr>
        <w:tc>
          <w:tcPr>
            <w:tcW w:type="dxa" w:w="2520"/>
          </w:tcPr>
          <w:p>
            <w:r>
              <w:t>Topic 4 mechanism instruction</w:t>
            </w:r>
          </w:p>
        </w:tc>
        <w:tc>
          <w:tcPr>
            <w:tcW w:type="dxa" w:w="2520"/>
          </w:tcPr>
          <w:p>
            <w:r>
              <w:t>30</w:t>
            </w:r>
          </w:p>
        </w:tc>
        <w:tc>
          <w:tcPr>
            <w:tcW w:type="dxa" w:w="2520"/>
          </w:tcPr>
          <w:p>
            <w:r>
              <w:t>228–263</w:t>
            </w:r>
          </w:p>
        </w:tc>
        <w:tc>
          <w:tcPr>
            <w:tcW w:type="dxa" w:w="2520"/>
          </w:tcPr>
          <w:p>
            <w:r>
              <w:t>Source material, exact contracts, architecture, failure controls and observable evidence.</w:t>
            </w:r>
          </w:p>
        </w:tc>
      </w:tr>
      <w:tr>
        <w:tc>
          <w:tcPr>
            <w:tcW w:type="dxa" w:w="2520"/>
          </w:tcPr>
          <w:p>
            <w:r>
              <w:t>Activity 07 Test eligible voting and duplicate controls</w:t>
            </w:r>
          </w:p>
        </w:tc>
        <w:tc>
          <w:tcPr>
            <w:tcW w:type="dxa" w:w="2520"/>
          </w:tcPr>
          <w:p>
            <w:r>
              <w:t>40</w:t>
            </w:r>
          </w:p>
        </w:tc>
        <w:tc>
          <w:tcPr>
            <w:tcW w:type="dxa" w:w="2520"/>
          </w:tcPr>
          <w:p>
            <w:r>
              <w:t>207–211</w:t>
            </w:r>
          </w:p>
        </w:tc>
        <w:tc>
          <w:tcPr>
            <w:tcW w:type="dxa" w:w="2520"/>
          </w:tcPr>
          <w:p>
            <w:r>
              <w:t>Individual build/test evidence, pair code review and requirement mapping.</w:t>
            </w:r>
          </w:p>
        </w:tc>
      </w:tr>
      <w:tr>
        <w:tc>
          <w:tcPr>
            <w:tcW w:type="dxa" w:w="2520"/>
          </w:tcPr>
          <w:p>
            <w:r>
              <w:t>Activity 08 Verify withdrawal controls against reentrancy</w:t>
            </w:r>
          </w:p>
        </w:tc>
        <w:tc>
          <w:tcPr>
            <w:tcW w:type="dxa" w:w="2520"/>
          </w:tcPr>
          <w:p>
            <w:r>
              <w:t>40</w:t>
            </w:r>
          </w:p>
        </w:tc>
        <w:tc>
          <w:tcPr>
            <w:tcW w:type="dxa" w:w="2520"/>
          </w:tcPr>
          <w:p>
            <w:r>
              <w:t>212–216</w:t>
            </w:r>
          </w:p>
        </w:tc>
        <w:tc>
          <w:tcPr>
            <w:tcW w:type="dxa" w:w="2520"/>
          </w:tcPr>
          <w:p>
            <w:r>
              <w:t>Individual build/test evidence, pair code review and requirement mapping.</w:t>
            </w:r>
          </w:p>
        </w:tc>
      </w:tr>
      <w:tr>
        <w:tc>
          <w:tcPr>
            <w:tcW w:type="dxa" w:w="2520"/>
          </w:tcPr>
          <w:p>
            <w:r>
              <w:t>Activity 09 Measure gas for storage transition classes</w:t>
            </w:r>
          </w:p>
        </w:tc>
        <w:tc>
          <w:tcPr>
            <w:tcW w:type="dxa" w:w="2520"/>
          </w:tcPr>
          <w:p>
            <w:r>
              <w:t>40</w:t>
            </w:r>
          </w:p>
        </w:tc>
        <w:tc>
          <w:tcPr>
            <w:tcW w:type="dxa" w:w="2520"/>
          </w:tcPr>
          <w:p>
            <w:r>
              <w:t>217–221</w:t>
            </w:r>
          </w:p>
        </w:tc>
        <w:tc>
          <w:tcPr>
            <w:tcW w:type="dxa" w:w="2520"/>
          </w:tcPr>
          <w:p>
            <w:r>
              <w:t>Individual build/test evidence, pair code review and requirement mapping.</w:t>
            </w:r>
          </w:p>
        </w:tc>
      </w:tr>
      <w:tr>
        <w:tc>
          <w:tcPr>
            <w:tcW w:type="dxa" w:w="2520"/>
          </w:tcPr>
          <w:p>
            <w:r>
              <w:t>Activity 10 Index receipt events and reconcile records</w:t>
            </w:r>
          </w:p>
        </w:tc>
        <w:tc>
          <w:tcPr>
            <w:tcW w:type="dxa" w:w="2520"/>
          </w:tcPr>
          <w:p>
            <w:r>
              <w:t>40</w:t>
            </w:r>
          </w:p>
        </w:tc>
        <w:tc>
          <w:tcPr>
            <w:tcW w:type="dxa" w:w="2520"/>
          </w:tcPr>
          <w:p>
            <w:r>
              <w:t>222–226</w:t>
            </w:r>
          </w:p>
        </w:tc>
        <w:tc>
          <w:tcPr>
            <w:tcW w:type="dxa" w:w="2520"/>
          </w:tcPr>
          <w:p>
            <w:r>
              <w:t>Individual build/test evidence, pair code review and requirement mapping.</w:t>
            </w:r>
          </w:p>
        </w:tc>
      </w:tr>
      <w:tr>
        <w:tc>
          <w:tcPr>
            <w:tcW w:type="dxa" w:w="2520"/>
          </w:tcPr>
          <w:p>
            <w:r>
              <w:t>Activity 11 Publish a reproducible local deployment manifest</w:t>
            </w:r>
          </w:p>
        </w:tc>
        <w:tc>
          <w:tcPr>
            <w:tcW w:type="dxa" w:w="2520"/>
          </w:tcPr>
          <w:p>
            <w:r>
              <w:t>40</w:t>
            </w:r>
          </w:p>
        </w:tc>
        <w:tc>
          <w:tcPr>
            <w:tcW w:type="dxa" w:w="2520"/>
          </w:tcPr>
          <w:p>
            <w:r>
              <w:t>251–255</w:t>
            </w:r>
          </w:p>
        </w:tc>
        <w:tc>
          <w:tcPr>
            <w:tcW w:type="dxa" w:w="2520"/>
          </w:tcPr>
          <w:p>
            <w:r>
              <w:t>Individual build/test evidence, pair code review and requirement mapping.</w:t>
            </w:r>
          </w:p>
        </w:tc>
      </w:tr>
      <w:tr>
        <w:tc>
          <w:tcPr>
            <w:tcW w:type="dxa" w:w="2520"/>
          </w:tcPr>
          <w:p>
            <w:r>
              <w:t>Activity 12 Connect a wallet and verify a certificate dApp</w:t>
            </w:r>
          </w:p>
        </w:tc>
        <w:tc>
          <w:tcPr>
            <w:tcW w:type="dxa" w:w="2520"/>
          </w:tcPr>
          <w:p>
            <w:r>
              <w:t>40</w:t>
            </w:r>
          </w:p>
        </w:tc>
        <w:tc>
          <w:tcPr>
            <w:tcW w:type="dxa" w:w="2520"/>
          </w:tcPr>
          <w:p>
            <w:r>
              <w:t>256–260</w:t>
            </w:r>
          </w:p>
        </w:tc>
        <w:tc>
          <w:tcPr>
            <w:tcW w:type="dxa" w:w="2520"/>
          </w:tcPr>
          <w:p>
            <w:r>
              <w:t>Individual build/test evidence, pair code review and requirement mapping.</w:t>
            </w:r>
          </w:p>
        </w:tc>
      </w:tr>
      <w:tr>
        <w:tc>
          <w:tcPr>
            <w:tcW w:type="dxa" w:w="2520"/>
          </w:tcPr>
          <w:p>
            <w:r>
              <w:t>Evidence handover and consolidation</w:t>
            </w:r>
          </w:p>
        </w:tc>
        <w:tc>
          <w:tcPr>
            <w:tcW w:type="dxa" w:w="2520"/>
          </w:tcPr>
          <w:p>
            <w:r>
              <w:t>0</w:t>
            </w:r>
          </w:p>
        </w:tc>
        <w:tc>
          <w:tcPr>
            <w:tcW w:type="dxa" w:w="2520"/>
          </w:tcPr>
          <w:p>
            <w:r>
              <w:t>262–264</w:t>
            </w:r>
          </w:p>
        </w:tc>
        <w:tc>
          <w:tcPr>
            <w:tcW w:type="dxa" w:w="2520"/>
          </w:tcPr>
          <w:p>
            <w:r>
              <w:t>Reconcile requirements, outputs, documentation and remaining verification boundaries.</w:t>
            </w:r>
          </w:p>
        </w:tc>
      </w:tr>
    </w:tbl>
    <w:p>
      <w:r>
        <w:t>Instructional total: 330 minutes. Day1:480 minutes instruction; Day2:330 minutes instruction +150 assessment. Lunch and comfort breaks are scheduled outside programme contact time. Trainer records AM/PM digital attendance.</w:t>
      </w:r>
    </w:p>
    <w:p>
      <w:pPr>
        <w:pStyle w:val="Heading1"/>
      </w:pPr>
      <w:r>
        <w:t>Assessment schedule and sign off</w:t>
      </w:r>
    </w:p>
    <w:p>
      <w:r>
        <w:t>WA: 60 minutes, five short-answer questions, K1–K5. PP: 90 minutes, four tasks: Task1 A1; Task2 A2/A3; Task3 A4/A5; Task4 A6/A7. Total150 assessment minutes within16 programme hours. Briefing precedes assessment. Closing slide sequence: Assessment → Assessment Flow → Digital Attendance/TRAQOM → Thank You.</w:t>
      </w:r>
    </w:p>
    <w:p>
      <w:pPr>
        <w:pStyle w:val="Heading1"/>
      </w:pPr>
      <w:r>
        <w:t>Trainer evidence and boundaries</w:t>
      </w:r>
    </w:p>
    <w:p>
      <w:r>
        <w:t>Local Py-EVM code execution verifies opcode-level contract behaviour. Browser wallet, public Sepolia, explorer and external dApps must be separately exercised and evidenced when required. Preserve current manifests, receipts, test logs and source locks. Do not treat compiler success, wallet approval or a transaction hash alone as successful runtime/deployment.</w:t>
      </w:r>
    </w:p>
    <w:sectPr w:rsidR="00FC693F" w:rsidRPr="0006063C" w:rsidSect="00034616">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6</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