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TERTIARY INFOTECH ACADEMY PTE LTD</w:t>
      </w:r>
    </w:p>
    <w:p>
      <w:r>
        <w:t>UEN 201200696W</w:t>
      </w:r>
    </w:p>
    <w:p>
      <w:pPr>
        <w:pStyle w:val="Title"/>
      </w:pPr>
      <w:r>
        <w:t>LESSON PLAN</w:t>
      </w:r>
    </w:p>
    <w:p>
      <w:pPr>
        <w:pStyle w:val="Heading1"/>
      </w:pPr>
      <w:r>
        <w:t>Mastering UI Design Techniques for Web and Mobile</w:t>
      </w:r>
    </w:p>
    <w:p>
      <w:r>
        <w:t>TGS-2021010046</w:t>
      </w:r>
    </w:p>
    <w:p>
      <w:r>
        <w:t>v12 · 14 September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Material change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Legacy reference</w:t>
            </w:r>
          </w:p>
        </w:tc>
        <w:tc>
          <w:tcPr>
            <w:tcW w:type="dxa" w:w="2160"/>
          </w:tcPr>
          <w:p>
            <w:r>
              <w:t>UXPin baseline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  <w:tr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14 September 2026</w:t>
            </w:r>
          </w:p>
        </w:tc>
        <w:tc>
          <w:tcPr>
            <w:tcW w:type="dxa" w:w="2160"/>
          </w:tcPr>
          <w:p>
            <w:r>
              <w:t>Claude Design; six labs; updated evidence and assessment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fldSimple w:instr="TOC \o &quot;1-2&quot; \h \z \u"/>
    </w:p>
    <w:p>
      <w:r>
        <w:br w:type="page"/>
      </w:r>
    </w:p>
    <w:p>
      <w:pPr>
        <w:pStyle w:val="Heading1"/>
      </w:pPr>
      <w:r>
        <w:t>Course information</w:t>
      </w:r>
    </w:p>
    <w:p>
      <w:r>
        <w:t>TGS-2021010046 · 2 days / 16 hours · TSC ICT-DES-3008-1.1</w:t>
      </w:r>
    </w:p>
    <w:p>
      <w:r>
        <w:t>Learning outcomes: LO1 needs and flows; LO2 components; LO3 validation; LO4 documentation and export</w:t>
      </w:r>
    </w:p>
    <w:p>
      <w:pPr>
        <w:pStyle w:val="Heading1"/>
      </w:pPr>
      <w:r>
        <w:t>Assessment</w:t>
      </w:r>
    </w:p>
    <w:p>
      <w:r>
        <w:t>Written Assessment (SAQ): 60 minutes. Practical Performance: 90 minutes. Open book. Candidate papers are kept in assessment/.</w:t>
      </w:r>
    </w:p>
    <w:p>
      <w:pPr>
        <w:pStyle w:val="Heading1"/>
      </w:pPr>
      <w:r>
        <w:t>Day 1 · needs, flows and prototypes</w:t>
      </w:r>
    </w:p>
    <w:p>
      <w:pPr>
        <w:pStyle w:val="Heading2"/>
      </w:pPr>
      <w:r>
        <w:t>Lab 01: Clinic Booking Mobile</w:t>
      </w:r>
    </w:p>
    <w:p>
      <w:r>
        <w:t>Use the brief, content assets, design prompt, review form and local specimen. Deck references: slides 8–71.</w:t>
      </w:r>
    </w:p>
    <w:p>
      <w:pPr>
        <w:pStyle w:val="Heading2"/>
      </w:pPr>
      <w:r>
        <w:t>Lab 02: Responsive Retail Web</w:t>
      </w:r>
    </w:p>
    <w:p>
      <w:r>
        <w:t>Use the brief, content assets, design prompt, review form and local specimen. Deck references: slides 72–119.</w:t>
      </w:r>
    </w:p>
    <w:p>
      <w:pPr>
        <w:pStyle w:val="Heading2"/>
      </w:pPr>
      <w:r>
        <w:t>Lab 03: Festival Flyer and Landing Page</w:t>
      </w:r>
    </w:p>
    <w:p>
      <w:r>
        <w:t>Use the brief, content assets, design prompt, review form and local specimen. Deck references: slides 120–143.</w:t>
      </w:r>
    </w:p>
    <w:p>
      <w:pPr>
        <w:pStyle w:val="Heading1"/>
      </w:pPr>
      <w:r>
        <w:t>Day 2 · collateral, design system, validation and handoff</w:t>
      </w:r>
    </w:p>
    <w:p>
      <w:pPr>
        <w:pStyle w:val="Heading2"/>
      </w:pPr>
      <w:r>
        <w:t>Lab 04: Programme Brochure</w:t>
      </w:r>
    </w:p>
    <w:p>
      <w:r>
        <w:t>Use deck slides 144–159. Produce the named deliverable and acceptance evidence in the lab folder; review against the same criteria in the Learner Guide.</w:t>
      </w:r>
    </w:p>
    <w:p>
      <w:pPr>
        <w:pStyle w:val="Heading2"/>
      </w:pPr>
      <w:r>
        <w:t>Lab 05: Claude Design System</w:t>
      </w:r>
    </w:p>
    <w:p>
      <w:r>
        <w:t>Use deck slides 160–175. Produce the named deliverable and acceptance evidence in the lab folder; review against the same criteria in the Learner Guide.</w:t>
      </w:r>
    </w:p>
    <w:p>
      <w:pPr>
        <w:pStyle w:val="Heading2"/>
      </w:pPr>
      <w:r>
        <w:t>Lab 06: Validation and Handoff</w:t>
      </w:r>
    </w:p>
    <w:p>
      <w:r>
        <w:t>Use deck slides 176–199. Produce the named deliverable and acceptance evidence in the lab folder; review against the same criteria in the Learner Guide.</w:t>
      </w:r>
    </w:p>
    <w:p>
      <w:pPr>
        <w:pStyle w:val="Heading1"/>
      </w:pPr>
      <w:r>
        <w:t>Delivery schedule</w:t>
      </w:r>
    </w:p>
    <w:p>
      <w:r>
        <w:t>Day 1: 09:00–10:00 introduction/needs; 10:00–13:00 information flows and Lab 01; 13:00–14:00 lunch; 14:00–16:00 components and Lab 02; 16:00–18:00 responsive and Lab 03. Eight training hours excluding lunch.</w:t>
      </w:r>
    </w:p>
    <w:p>
      <w:r>
        <w:t>Day 2: 09:00–10:30 brochure and Lab 04; 10:30–12:00 design system and Lab 05; 12:00–13:00 lunch; 13:00–15:00 Lab 06; 15:00–15:30 assessment briefing; 15:30–16:30 WA; 16:30–18:00 PP. Eight training hours excluding lunch.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© 2026 Tertiary Infotech Academy Pte Ltd · TGS-2021010046 · Page </w:t>
    </w:r>
    <w:fldSimple w:instr="PAGE"/>
    <w: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