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04: Add API-Key Protection and CORS</w:t>
      </w:r>
    </w:p>
    <w:p>
      <w:r>
        <w:t>Maps to: A7, A8</w:t>
      </w:r>
    </w:p>
    <w:p>
      <w:r>
        <w:t>Implement a reusable API-key dependency and an explicit browser-origin allow list.</w:t>
      </w:r>
    </w:p>
    <w:p>
      <w:pPr>
        <w:pStyle w:val="Heading1"/>
      </w:pPr>
      <w:r>
        <w:t>AI Vibe Coding Assets</w:t>
      </w:r>
    </w:p>
    <w:p>
      <w:pPr>
        <w:pStyle w:val="ListBullet"/>
      </w:pPr>
      <w:r>
        <w:t>ai_vibe.py - OpenAI Python SDK runner</w:t>
      </w:r>
    </w:p>
    <w:p>
      <w:pPr>
        <w:pStyle w:val="ListBullet"/>
      </w:pPr>
      <w:r>
        <w:t>mock-data.json - synthetic request and test context</w:t>
      </w:r>
    </w:p>
    <w:p>
      <w:pPr>
        <w:pStyle w:val="ListBullet"/>
      </w:pPr>
      <w:r>
        <w:t>mock-database.sqlite - inspectable synthetic SQLite seed database</w:t>
      </w:r>
    </w:p>
    <w:p>
      <w:pPr>
        <w:pStyle w:val="ListBullet"/>
      </w:pPr>
      <w:r>
        <w:t>Prompts.pdf - first-run and refinement prompts</w:t>
      </w:r>
    </w:p>
    <w:p>
      <w:pPr>
        <w:pStyle w:val="ListBullet"/>
      </w:pPr>
      <w:r>
        <w:t>working-files/generated/ - isolated AI output for review</w:t>
      </w:r>
    </w:p>
    <w:p>
      <w:pPr>
        <w:pStyle w:val="Heading1"/>
      </w:pPr>
      <w:r>
        <w:t>First-Run Prompt</w:t>
      </w:r>
    </w:p>
    <w:p>
      <w:r>
        <w:t>Add a reusable X-API-Key dependency to product, customer and order write routes and configure CORS for only the origin supplied in mock-data.json. Read secrets from environment variables, compare safely, never place a live key in source or browser JavaScript, and test missing, invalid and valid credentials.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B1220"/>
          </w:tcPr>
          <w:p>
            <w:pPr>
              <w:spacing w:after="0"/>
            </w:pPr>
            <w:r>
              <w:rPr>
                <w:rFonts w:ascii="Consolas" w:hAnsi="Consolas"/>
                <w:color w:val="A7F3D0"/>
                <w:sz w:val="18"/>
              </w:rPr>
              <w:t>python ai_vibe.py --dry-run</w:t>
              <w:br/>
              <w:t>export OPENAI_API_KEY="..."</w:t>
              <w:br/>
              <w:t>export OPENAI_MODEL="gpt-5-mini"</w:t>
              <w:br/>
              <w:t>python ai_vibe.py</w:t>
              <w:br/>
              <w:t>pytest -q</w:t>
            </w:r>
          </w:p>
        </w:tc>
      </w:tr>
    </w:tbl>
    <w:p>
      <w:pPr>
        <w:pStyle w:val="Heading1"/>
      </w:pPr>
      <w:r>
        <w:t>Detailed procedure</w:t>
      </w:r>
    </w:p>
    <w:p>
      <w:pPr>
        <w:pStyle w:val="Heading2"/>
      </w:pPr>
      <w:r>
        <w:t>Step 1: Read Prompts.pdf and identify the role, context, constraints, target files and verification checks.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2: Inspect mock-data.json; remove any personal, confidential or live credential data before prompting.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3: Run python ai_vibe.py --dry-run to validate and preview the exact SDK request without using API credits.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4: Set OPENAI_API_KEY in the shell and choose an available OPENAI_MODEL; never paste either value into source files.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5: Run python ai_vibe.py and inspect the typed CodeBundle written under working-files/generated/.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6: Review the generated diff and copy only accepted changes into the working application.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7: Copy .env.example to .env and set a local demo key; never commit .env.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8: Implement require_api_key() using the X-API-Key header.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9: Attach the dependency to POST, PATCH and DELETE routes.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10: Configure CORSMiddleware for the exact frontend development origin.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11: Test missing, invalid and valid keys with curl or Swagger UI.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12: Inspect the browser preflight request and response headers.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13: Run pytest -q and the lab acceptance checks; refine the prompt with the observed failure evidence when needed.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2"/>
      </w:pPr>
      <w:r>
        <w:t>Step 14: Save the prompt, model name, generated bundle summary and test result as the lab evidence trail.</w:t>
      </w:r>
    </w:p>
    <w:p>
      <w:r>
        <w:t>Perform the action, observe the output, diagnose any mismatch using the request/status/log evidence, and save one evidence item.</w:t>
      </w:r>
    </w:p>
    <w:p>
      <w:pPr>
        <w:pStyle w:val="Heading1"/>
      </w:pPr>
      <w:r>
        <w:t>Acceptance criteria</w:t>
      </w:r>
    </w:p>
    <w:p>
      <w:r>
        <w:t>Unauthorized writes return 401; a valid key succeeds; only the configured origin receives CORS permission.</w:t>
      </w:r>
    </w:p>
    <w:sectPr w:rsidR="00FC693F" w:rsidRPr="0006063C" w:rsidSect="00034616">
      <w:footerReference w:type="default" r:id="rId9"/>
      <w:pgSz w:w="12240" w:h="15840"/>
      <w:pgMar w:top="1008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