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4175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apore-workforce-skills-qualifications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17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Vibe Coding for Augmented Reality (AR) Applications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TGS-2022017519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9.1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8.0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trainer-slide-aligned lesson plan.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9.0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Rebuilt for the AI vibe-coding AR/VR course, 215-slide deck, localhost WebXR studio, eight labs and aligned WA/PP.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9.1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12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Added the live AR/VR Playground as the no-install learner entry point.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Facilitation and Evidence Strategy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AR User Interface Design and Storyboarding with AI Vibe Coding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Interaction, AR/VR Review and Assessment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Lab-to-Slide and TSC Alignment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 and Safety Notes</w:t>
        <w:tab/>
        <w:t>8</w:t>
      </w:r>
    </w:p>
    <w:p>
      <w:pPr>
        <w:spacing w:before="0" w:after="0" w:line="20" w:lineRule="exact"/>
      </w:pPr>
      <w:r>
        <w:rPr>
          <w:sz w:val="2"/>
          <w:vanish/>
        </w:rP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Course title</w:t>
            </w:r>
          </w:p>
        </w:tc>
        <w:tc>
          <w:tcPr>
            <w:tcW w:type="dxa" w:w="4320"/>
          </w:tcPr>
          <w:p>
            <w:r>
              <w:t>AI Vibe Coding for Augmented Reality (AR) Applications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Course code</w:t>
            </w:r>
          </w:p>
        </w:tc>
        <w:tc>
          <w:tcPr>
            <w:tcW w:type="dxa" w:w="4320"/>
          </w:tcPr>
          <w:p>
            <w:r>
              <w:t>TGS-2022017519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TSC</w:t>
            </w:r>
          </w:p>
        </w:tc>
        <w:tc>
          <w:tcPr>
            <w:tcW w:type="dxa" w:w="4320"/>
          </w:tcPr>
          <w:p>
            <w:r>
              <w:t>Augmented Reality Application · PRE-CTS-3001-1.1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2 days · 16 training hours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Daily timing</w:t>
            </w:r>
          </w:p>
        </w:tc>
        <w:tc>
          <w:tcPr>
            <w:tcW w:type="dxa" w:w="4320"/>
          </w:tcPr>
          <w:p>
            <w:r>
              <w:t>09:30–18:30, with 1-hour lunch excluded from the 8-hour training total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Mode</w:t>
            </w:r>
          </w:p>
        </w:tc>
        <w:tc>
          <w:tcPr>
            <w:tcW w:type="dxa" w:w="4320"/>
          </w:tcPr>
          <w:p>
            <w:r>
              <w:t>Instructor-led technical instruction, supervised localhost coding labs and device-dependent WebXR demonstrations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4320"/>
          </w:tcPr>
          <w:p>
            <w:r>
              <w:t>Tertiary Infotech Academy Pte Ltd · UEN 201200696W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v9.1 · 12 September 2026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Translate specifications and write storyboards for AR applications using spatial user-interface principles.</w:t>
      </w:r>
    </w:p>
    <w:p>
      <w:pPr>
        <w:pStyle w:val="ListBullet"/>
      </w:pPr>
      <w:r>
        <w:t>LO2: Apply AR working principles to create procedures and review AR runtimes for usability and clarity.</w:t>
      </w:r>
    </w:p>
    <w:p>
      <w:pPr>
        <w:pStyle w:val="ListBullet"/>
      </w:pPr>
      <w:r>
        <w:t>LO3: Overlay virtual objects on the real world, distinguish AR from VR, and advise developers on effective adjustments.</w:t>
      </w:r>
    </w:p>
    <w:p>
      <w:pPr>
        <w:pStyle w:val="Heading1"/>
      </w:pPr>
      <w:r>
        <w:t>Assessment</w:t>
      </w:r>
    </w:p>
    <w:p>
      <w:pPr>
        <w:pStyle w:val="ListBullet"/>
      </w:pPr>
      <w:r>
        <w:t>Written Assessment (SAQ) — 7 open-ended questions, 60 minutes, open book.</w:t>
      </w:r>
    </w:p>
    <w:p>
      <w:pPr>
        <w:pStyle w:val="ListBullet"/>
      </w:pPr>
      <w:r>
        <w:t>Practical Performance (PP) — 3 connected tasks, 90 minutes, open book.</w:t>
      </w:r>
    </w:p>
    <w:p>
      <w:pPr>
        <w:pStyle w:val="ListBullet"/>
      </w:pPr>
      <w:r>
        <w:t>The current papers total 150 minutes; this conflicts with the generic 2-hour course-page label and is retained to mirror the approved paper-level evidence.</w:t>
      </w:r>
    </w:p>
    <w:p>
      <w:pPr>
        <w:pStyle w:val="Heading1"/>
      </w:pPr>
      <w:r>
        <w:t>Facilitation and Evidence Strategy</w:t>
      </w:r>
    </w:p>
    <w:p>
      <w:pPr>
        <w:pStyle w:val="ListBullet"/>
      </w:pPr>
      <w:r>
        <w:t>Slides present mechanisms, architecture, code/configuration excerpts, formulas, failure modes and acceptance evidence; they do not reproduce click-by-click lab procedures.</w:t>
      </w:r>
    </w:p>
    <w:p>
      <w:pPr>
        <w:pStyle w:val="ListBullet"/>
      </w:pPr>
      <w:r>
        <w:t>The Learner Guide and each individual lab folder carry the complete numbered procedure, verification, troubleshooting and cleanup.</w:t>
      </w:r>
    </w:p>
    <w:p>
      <w:pPr>
        <w:pStyle w:val="ListBullet"/>
      </w:pPr>
      <w:r>
        <w:t>The shared localhost app provides desktop preview in all supported modern browsers; immersive AR/VR demonstrations are described honestly as device-dependent.</w:t>
      </w:r>
    </w:p>
    <w:p>
      <w:pPr>
        <w:pStyle w:val="ListBullet"/>
      </w:pPr>
      <w:r>
        <w:t>Coding-agent output is reviewed as a proposal. Learners inspect the scene contract, diff, tests, runtime state and handover before acceptance.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AR User Interface Design and Storyboarding with AI Vibe Coding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Learning activity</w:t>
            </w:r>
          </w:p>
        </w:tc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Slide reference</w:t>
            </w:r>
          </w:p>
        </w:tc>
      </w:tr>
      <w:tr>
        <w:tc>
          <w:tcPr>
            <w:tcW w:type="dxa" w:w="1728"/>
            <w:shd w:val="clear" w:color="auto" w:fill="F3F5F8"/>
          </w:tcPr>
          <w:p>
            <w:r>
              <w:t>09:30–10:00</w:t>
            </w:r>
          </w:p>
        </w:tc>
        <w:tc>
          <w:tcPr>
            <w:tcW w:type="dxa" w:w="1728"/>
            <w:shd w:val="clear" w:color="auto" w:fill="F3F5F8"/>
          </w:tcPr>
          <w:p>
            <w:r>
              <w:t>30</w:t>
            </w:r>
          </w:p>
        </w:tc>
        <w:tc>
          <w:tcPr>
            <w:tcW w:type="dxa" w:w="1728"/>
            <w:shd w:val="clear" w:color="auto" w:fill="F3F5F8"/>
          </w:tcPr>
          <w:p>
            <w:r>
              <w:t>Admin</w:t>
            </w:r>
          </w:p>
        </w:tc>
        <w:tc>
          <w:tcPr>
            <w:tcW w:type="dxa" w:w="1728"/>
            <w:shd w:val="clear" w:color="auto" w:fill="F3F5F8"/>
          </w:tcPr>
          <w:p>
            <w:r>
              <w:t>Welcome, digital attendance, trainer profiles, ground rules, course download, outcomes and assessment overview</w:t>
            </w:r>
          </w:p>
        </w:tc>
        <w:tc>
          <w:tcPr>
            <w:tcW w:type="dxa" w:w="1728"/>
            <w:shd w:val="clear" w:color="auto" w:fill="F3F5F8"/>
          </w:tcPr>
          <w:p>
            <w:r>
              <w:t>Slides 1–17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>
              <w:t>10:00–10:45</w:t>
            </w:r>
          </w:p>
        </w:tc>
        <w:tc>
          <w:tcPr>
            <w:tcW w:type="dxa" w:w="1728"/>
            <w:shd w:val="clear" w:color="auto" w:fill="E8F0FE"/>
          </w:tcPr>
          <w:p>
            <w:r>
              <w:t>45</w:t>
            </w:r>
          </w:p>
        </w:tc>
        <w:tc>
          <w:tcPr>
            <w:tcW w:type="dxa" w:w="1728"/>
            <w:shd w:val="clear" w:color="auto" w:fill="E8F0FE"/>
          </w:tcPr>
          <w:p>
            <w:r>
              <w:t>Topic</w:t>
            </w:r>
          </w:p>
        </w:tc>
        <w:tc>
          <w:tcPr>
            <w:tcW w:type="dxa" w:w="1728"/>
            <w:shd w:val="clear" w:color="auto" w:fill="E8F0FE"/>
          </w:tcPr>
          <w:p>
            <w:r>
              <w:t>Topic 1 — AR User Interface Design and Storyboarding with AI Vibe Coding: requirement contracts, evidence boundaries and storyboard state models</w:t>
            </w:r>
          </w:p>
        </w:tc>
        <w:tc>
          <w:tcPr>
            <w:tcW w:type="dxa" w:w="1728"/>
            <w:shd w:val="clear" w:color="auto" w:fill="E8F0FE"/>
          </w:tcPr>
          <w:p>
            <w:r>
              <w:t>Slide 18</w:t>
            </w:r>
          </w:p>
        </w:tc>
      </w:tr>
      <w:tr>
        <w:tc>
          <w:tcPr>
            <w:tcW w:type="dxa" w:w="1728"/>
            <w:shd w:val="clear" w:color="auto" w:fill="FFF7ED"/>
          </w:tcPr>
          <w:p>
            <w:r>
              <w:t>10:45–11:00</w:t>
            </w:r>
          </w:p>
        </w:tc>
        <w:tc>
          <w:tcPr>
            <w:tcW w:type="dxa" w:w="1728"/>
            <w:shd w:val="clear" w:color="auto" w:fill="FFF7ED"/>
          </w:tcPr>
          <w:p>
            <w:r>
              <w:t>15</w:t>
            </w:r>
          </w:p>
        </w:tc>
        <w:tc>
          <w:tcPr>
            <w:tcW w:type="dxa" w:w="1728"/>
            <w:shd w:val="clear" w:color="auto" w:fill="FFF7ED"/>
          </w:tcPr>
          <w:p>
            <w:r>
              <w:t>Break</w:t>
            </w:r>
          </w:p>
        </w:tc>
        <w:tc>
          <w:tcPr>
            <w:tcW w:type="dxa" w:w="1728"/>
            <w:shd w:val="clear" w:color="auto" w:fill="FFF7ED"/>
          </w:tcPr>
          <w:p>
            <w:r>
              <w:t>Tea break</w:t>
            </w:r>
          </w:p>
        </w:tc>
        <w:tc>
          <w:tcPr>
            <w:tcW w:type="dxa" w:w="1728"/>
            <w:shd w:val="clear" w:color="auto" w:fill="FFF7ED"/>
          </w:tcPr>
          <w:p>
            <w:r>
              <w:t>—</w:t>
            </w:r>
          </w:p>
        </w:tc>
      </w:tr>
      <w:tr>
        <w:tc>
          <w:tcPr>
            <w:tcW w:type="dxa" w:w="1728"/>
            <w:shd w:val="clear" w:color="auto" w:fill="ECFDF5"/>
          </w:tcPr>
          <w:p>
            <w:r>
              <w:t>11:00–12:00</w:t>
            </w:r>
          </w:p>
        </w:tc>
        <w:tc>
          <w:tcPr>
            <w:tcW w:type="dxa" w:w="1728"/>
            <w:shd w:val="clear" w:color="auto" w:fill="ECFDF5"/>
          </w:tcPr>
          <w:p>
            <w:r>
              <w:t>60</w:t>
            </w:r>
          </w:p>
        </w:tc>
        <w:tc>
          <w:tcPr>
            <w:tcW w:type="dxa" w:w="1728"/>
            <w:shd w:val="clear" w:color="auto" w:fill="ECFDF5"/>
          </w:tcPr>
          <w:p>
            <w:r>
              <w:t>Lab</w:t>
            </w:r>
          </w:p>
        </w:tc>
        <w:tc>
          <w:tcPr>
            <w:tcW w:type="dxa" w:w="1728"/>
            <w:shd w:val="clear" w:color="auto" w:fill="ECFDF5"/>
          </w:tcPr>
          <w:p>
            <w:r>
              <w:t>Lab 01 — Scene Brief and Prompt Contract</w:t>
            </w:r>
          </w:p>
        </w:tc>
        <w:tc>
          <w:tcPr>
            <w:tcW w:type="dxa" w:w="1728"/>
            <w:shd w:val="clear" w:color="auto" w:fill="ECFDF5"/>
          </w:tcPr>
          <w:p>
            <w:r>
              <w:t>Slides 34–37</w:t>
            </w:r>
          </w:p>
        </w:tc>
      </w:tr>
      <w:tr>
        <w:tc>
          <w:tcPr>
            <w:tcW w:type="dxa" w:w="1728"/>
            <w:shd w:val="clear" w:color="auto" w:fill="ECFDF5"/>
          </w:tcPr>
          <w:p>
            <w:r>
              <w:t>12:00–13:15</w:t>
            </w:r>
          </w:p>
        </w:tc>
        <w:tc>
          <w:tcPr>
            <w:tcW w:type="dxa" w:w="1728"/>
            <w:shd w:val="clear" w:color="auto" w:fill="ECFDF5"/>
          </w:tcPr>
          <w:p>
            <w:r>
              <w:t>75</w:t>
            </w:r>
          </w:p>
        </w:tc>
        <w:tc>
          <w:tcPr>
            <w:tcW w:type="dxa" w:w="1728"/>
            <w:shd w:val="clear" w:color="auto" w:fill="ECFDF5"/>
          </w:tcPr>
          <w:p>
            <w:r>
              <w:t>Lab</w:t>
            </w:r>
          </w:p>
        </w:tc>
        <w:tc>
          <w:tcPr>
            <w:tcW w:type="dxa" w:w="1728"/>
            <w:shd w:val="clear" w:color="auto" w:fill="ECFDF5"/>
          </w:tcPr>
          <w:p>
            <w:r>
              <w:t>Lab 02 — Storyboard and Spatial UI</w:t>
            </w:r>
          </w:p>
        </w:tc>
        <w:tc>
          <w:tcPr>
            <w:tcW w:type="dxa" w:w="1728"/>
            <w:shd w:val="clear" w:color="auto" w:fill="ECFDF5"/>
          </w:tcPr>
          <w:p>
            <w:r>
              <w:t>Slides 53–56</w:t>
            </w:r>
          </w:p>
        </w:tc>
      </w:tr>
      <w:tr>
        <w:tc>
          <w:tcPr>
            <w:tcW w:type="dxa" w:w="1728"/>
            <w:shd w:val="clear" w:color="auto" w:fill="FDE9D9"/>
          </w:tcPr>
          <w:p>
            <w:r>
              <w:t>13:15–14:15</w:t>
            </w:r>
          </w:p>
        </w:tc>
        <w:tc>
          <w:tcPr>
            <w:tcW w:type="dxa" w:w="1728"/>
            <w:shd w:val="clear" w:color="auto" w:fill="FDE9D9"/>
          </w:tcPr>
          <w:p>
            <w:r>
              <w:t>60</w:t>
            </w:r>
          </w:p>
        </w:tc>
        <w:tc>
          <w:tcPr>
            <w:tcW w:type="dxa" w:w="1728"/>
            <w:shd w:val="clear" w:color="auto" w:fill="FDE9D9"/>
          </w:tcPr>
          <w:p>
            <w:r>
              <w:t>Lunch</w:t>
            </w:r>
          </w:p>
        </w:tc>
        <w:tc>
          <w:tcPr>
            <w:tcW w:type="dxa" w:w="1728"/>
            <w:shd w:val="clear" w:color="auto" w:fill="FDE9D9"/>
          </w:tcPr>
          <w:p>
            <w:r>
              <w:t>Lunch break</w:t>
            </w:r>
          </w:p>
        </w:tc>
        <w:tc>
          <w:tcPr>
            <w:tcW w:type="dxa" w:w="1728"/>
            <w:shd w:val="clear" w:color="auto" w:fill="FDE9D9"/>
          </w:tcPr>
          <w:p>
            <w:r>
              <w:t>—</w:t>
            </w:r>
          </w:p>
        </w:tc>
      </w:tr>
      <w:tr>
        <w:tc>
          <w:tcPr>
            <w:tcW w:type="dxa" w:w="1728"/>
            <w:shd w:val="clear" w:color="auto" w:fill="ECFDF5"/>
          </w:tcPr>
          <w:p>
            <w:r>
              <w:t>14:15–15:15</w:t>
            </w:r>
          </w:p>
        </w:tc>
        <w:tc>
          <w:tcPr>
            <w:tcW w:type="dxa" w:w="1728"/>
            <w:shd w:val="clear" w:color="auto" w:fill="ECFDF5"/>
          </w:tcPr>
          <w:p>
            <w:r>
              <w:t>60</w:t>
            </w:r>
          </w:p>
        </w:tc>
        <w:tc>
          <w:tcPr>
            <w:tcW w:type="dxa" w:w="1728"/>
            <w:shd w:val="clear" w:color="auto" w:fill="ECFDF5"/>
          </w:tcPr>
          <w:p>
            <w:r>
              <w:t>Lab</w:t>
            </w:r>
          </w:p>
        </w:tc>
        <w:tc>
          <w:tcPr>
            <w:tcW w:type="dxa" w:w="1728"/>
            <w:shd w:val="clear" w:color="auto" w:fill="ECFDF5"/>
          </w:tcPr>
          <w:p>
            <w:r>
              <w:t>Lab 03 — WebXR Capability and Equipment Gate</w:t>
            </w:r>
          </w:p>
        </w:tc>
        <w:tc>
          <w:tcPr>
            <w:tcW w:type="dxa" w:w="1728"/>
            <w:shd w:val="clear" w:color="auto" w:fill="ECFDF5"/>
          </w:tcPr>
          <w:p>
            <w:r>
              <w:t>Slides 72–75</w:t>
            </w:r>
          </w:p>
        </w:tc>
      </w:tr>
      <w:tr>
        <w:tc>
          <w:tcPr>
            <w:tcW w:type="dxa" w:w="1728"/>
            <w:shd w:val="clear" w:color="auto" w:fill="FFF7ED"/>
          </w:tcPr>
          <w:p>
            <w:r>
              <w:t>15:15–15:30</w:t>
            </w:r>
          </w:p>
        </w:tc>
        <w:tc>
          <w:tcPr>
            <w:tcW w:type="dxa" w:w="1728"/>
            <w:shd w:val="clear" w:color="auto" w:fill="FFF7ED"/>
          </w:tcPr>
          <w:p>
            <w:r>
              <w:t>15</w:t>
            </w:r>
          </w:p>
        </w:tc>
        <w:tc>
          <w:tcPr>
            <w:tcW w:type="dxa" w:w="1728"/>
            <w:shd w:val="clear" w:color="auto" w:fill="FFF7ED"/>
          </w:tcPr>
          <w:p>
            <w:r>
              <w:t>Break</w:t>
            </w:r>
          </w:p>
        </w:tc>
        <w:tc>
          <w:tcPr>
            <w:tcW w:type="dxa" w:w="1728"/>
            <w:shd w:val="clear" w:color="auto" w:fill="FFF7ED"/>
          </w:tcPr>
          <w:p>
            <w:r>
              <w:t>Tea break</w:t>
            </w:r>
          </w:p>
        </w:tc>
        <w:tc>
          <w:tcPr>
            <w:tcW w:type="dxa" w:w="1728"/>
            <w:shd w:val="clear" w:color="auto" w:fill="FFF7ED"/>
          </w:tcPr>
          <w:p>
            <w:r>
              <w:t>—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>
              <w:t>15:30–16:30</w:t>
            </w:r>
          </w:p>
        </w:tc>
        <w:tc>
          <w:tcPr>
            <w:tcW w:type="dxa" w:w="1728"/>
            <w:shd w:val="clear" w:color="auto" w:fill="E8F0FE"/>
          </w:tcPr>
          <w:p>
            <w:r>
              <w:t>60</w:t>
            </w:r>
          </w:p>
        </w:tc>
        <w:tc>
          <w:tcPr>
            <w:tcW w:type="dxa" w:w="1728"/>
            <w:shd w:val="clear" w:color="auto" w:fill="E8F0FE"/>
          </w:tcPr>
          <w:p>
            <w:r>
              <w:t>Topic</w:t>
            </w:r>
          </w:p>
        </w:tc>
        <w:tc>
          <w:tcPr>
            <w:tcW w:type="dxa" w:w="1728"/>
            <w:shd w:val="clear" w:color="auto" w:fill="E8F0FE"/>
          </w:tcPr>
          <w:p>
            <w:r>
              <w:t>Topic 2 — AR Application Development with Localhost WebXR: renderer, scene graph, camera, lighting and metric scale</w:t>
            </w:r>
          </w:p>
        </w:tc>
        <w:tc>
          <w:tcPr>
            <w:tcW w:type="dxa" w:w="1728"/>
            <w:shd w:val="clear" w:color="auto" w:fill="E8F0FE"/>
          </w:tcPr>
          <w:p>
            <w:r>
              <w:t>Slide 80</w:t>
            </w:r>
          </w:p>
        </w:tc>
      </w:tr>
      <w:tr>
        <w:tc>
          <w:tcPr>
            <w:tcW w:type="dxa" w:w="1728"/>
            <w:shd w:val="clear" w:color="auto" w:fill="ECFDF5"/>
          </w:tcPr>
          <w:p>
            <w:r>
              <w:t>16:30–18:00</w:t>
            </w:r>
          </w:p>
        </w:tc>
        <w:tc>
          <w:tcPr>
            <w:tcW w:type="dxa" w:w="1728"/>
            <w:shd w:val="clear" w:color="auto" w:fill="ECFDF5"/>
          </w:tcPr>
          <w:p>
            <w:r>
              <w:t>90</w:t>
            </w:r>
          </w:p>
        </w:tc>
        <w:tc>
          <w:tcPr>
            <w:tcW w:type="dxa" w:w="1728"/>
            <w:shd w:val="clear" w:color="auto" w:fill="ECFDF5"/>
          </w:tcPr>
          <w:p>
            <w:r>
              <w:t>Lab</w:t>
            </w:r>
          </w:p>
        </w:tc>
        <w:tc>
          <w:tcPr>
            <w:tcW w:type="dxa" w:w="1728"/>
            <w:shd w:val="clear" w:color="auto" w:fill="ECFDF5"/>
          </w:tcPr>
          <w:p>
            <w:r>
              <w:t>Lab 04 — Scene Graph, Lighting and Animation</w:t>
            </w:r>
          </w:p>
        </w:tc>
        <w:tc>
          <w:tcPr>
            <w:tcW w:type="dxa" w:w="1728"/>
            <w:shd w:val="clear" w:color="auto" w:fill="ECFDF5"/>
          </w:tcPr>
          <w:p>
            <w:r>
              <w:t>Slides 97–100</w:t>
            </w:r>
          </w:p>
        </w:tc>
      </w:tr>
      <w:tr>
        <w:tc>
          <w:tcPr>
            <w:tcW w:type="dxa" w:w="1728"/>
            <w:shd w:val="clear" w:color="auto" w:fill="ECFDF5"/>
          </w:tcPr>
          <w:p>
            <w:r>
              <w:t>18:00–18:30</w:t>
            </w:r>
          </w:p>
        </w:tc>
        <w:tc>
          <w:tcPr>
            <w:tcW w:type="dxa" w:w="1728"/>
            <w:shd w:val="clear" w:color="auto" w:fill="ECFDF5"/>
          </w:tcPr>
          <w:p>
            <w:r>
              <w:t>30</w:t>
            </w:r>
          </w:p>
        </w:tc>
        <w:tc>
          <w:tcPr>
            <w:tcW w:type="dxa" w:w="1728"/>
            <w:shd w:val="clear" w:color="auto" w:fill="ECFDF5"/>
          </w:tcPr>
          <w:p>
            <w:r>
              <w:t>Lab</w:t>
            </w:r>
          </w:p>
        </w:tc>
        <w:tc>
          <w:tcPr>
            <w:tcW w:type="dxa" w:w="1728"/>
            <w:shd w:val="clear" w:color="auto" w:fill="ECFDF5"/>
          </w:tcPr>
          <w:p>
            <w:r>
              <w:t>Lab 05 — Plane Detection, Hit Test and Anchors (brief, state trace and setup)</w:t>
            </w:r>
          </w:p>
        </w:tc>
        <w:tc>
          <w:tcPr>
            <w:tcW w:type="dxa" w:w="1728"/>
            <w:shd w:val="clear" w:color="auto" w:fill="ECFDF5"/>
          </w:tcPr>
          <w:p>
            <w:r>
              <w:t>Slides 116–117</w:t>
            </w:r>
          </w:p>
        </w:tc>
      </w:tr>
    </w:tbl>
    <w:p>
      <w:r>
        <w:rPr>
          <w:b/>
          <w:color w:val="1F6FEB"/>
        </w:rPr>
        <w:t>Training total excluding lunch: 480 minutes (8 hours).</w:t>
      </w:r>
    </w:p>
    <w:p>
      <w:pPr>
        <w:pStyle w:val="Heading2"/>
      </w:pPr>
      <w:r>
        <w:t>Day 2 — Interaction, AR/VR Review and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Learning activity</w:t>
            </w:r>
          </w:p>
        </w:tc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Slide reference</w:t>
            </w:r>
          </w:p>
        </w:tc>
      </w:tr>
      <w:tr>
        <w:tc>
          <w:tcPr>
            <w:tcW w:type="dxa" w:w="1728"/>
            <w:shd w:val="clear" w:color="auto" w:fill="ECFDF5"/>
          </w:tcPr>
          <w:p>
            <w:r>
              <w:t>09:30–10:30</w:t>
            </w:r>
          </w:p>
        </w:tc>
        <w:tc>
          <w:tcPr>
            <w:tcW w:type="dxa" w:w="1728"/>
            <w:shd w:val="clear" w:color="auto" w:fill="ECFDF5"/>
          </w:tcPr>
          <w:p>
            <w:r>
              <w:t>60</w:t>
            </w:r>
          </w:p>
        </w:tc>
        <w:tc>
          <w:tcPr>
            <w:tcW w:type="dxa" w:w="1728"/>
            <w:shd w:val="clear" w:color="auto" w:fill="ECFDF5"/>
          </w:tcPr>
          <w:p>
            <w:r>
              <w:t>Lab</w:t>
            </w:r>
          </w:p>
        </w:tc>
        <w:tc>
          <w:tcPr>
            <w:tcW w:type="dxa" w:w="1728"/>
            <w:shd w:val="clear" w:color="auto" w:fill="ECFDF5"/>
          </w:tcPr>
          <w:p>
            <w:r>
              <w:t>Lab 05 — Plane Detection, Hit Test and Anchors (runtime placement, verification and review)</w:t>
            </w:r>
          </w:p>
        </w:tc>
        <w:tc>
          <w:tcPr>
            <w:tcW w:type="dxa" w:w="1728"/>
            <w:shd w:val="clear" w:color="auto" w:fill="ECFDF5"/>
          </w:tcPr>
          <w:p>
            <w:r>
              <w:t>Slides 118–119</w:t>
            </w:r>
          </w:p>
        </w:tc>
      </w:tr>
      <w:tr>
        <w:tc>
          <w:tcPr>
            <w:tcW w:type="dxa" w:w="1728"/>
            <w:shd w:val="clear" w:color="auto" w:fill="FFF7ED"/>
          </w:tcPr>
          <w:p>
            <w:r>
              <w:t>10:30–10:45</w:t>
            </w:r>
          </w:p>
        </w:tc>
        <w:tc>
          <w:tcPr>
            <w:tcW w:type="dxa" w:w="1728"/>
            <w:shd w:val="clear" w:color="auto" w:fill="FFF7ED"/>
          </w:tcPr>
          <w:p>
            <w:r>
              <w:t>15</w:t>
            </w:r>
          </w:p>
        </w:tc>
        <w:tc>
          <w:tcPr>
            <w:tcW w:type="dxa" w:w="1728"/>
            <w:shd w:val="clear" w:color="auto" w:fill="FFF7ED"/>
          </w:tcPr>
          <w:p>
            <w:r>
              <w:t>Break</w:t>
            </w:r>
          </w:p>
        </w:tc>
        <w:tc>
          <w:tcPr>
            <w:tcW w:type="dxa" w:w="1728"/>
            <w:shd w:val="clear" w:color="auto" w:fill="FFF7ED"/>
          </w:tcPr>
          <w:p>
            <w:r>
              <w:t>Tea break</w:t>
            </w:r>
          </w:p>
        </w:tc>
        <w:tc>
          <w:tcPr>
            <w:tcW w:type="dxa" w:w="1728"/>
            <w:shd w:val="clear" w:color="auto" w:fill="FFF7ED"/>
          </w:tcPr>
          <w:p>
            <w:r>
              <w:t>—</w:t>
            </w:r>
          </w:p>
        </w:tc>
      </w:tr>
      <w:tr>
        <w:tc>
          <w:tcPr>
            <w:tcW w:type="dxa" w:w="1728"/>
            <w:shd w:val="clear" w:color="auto" w:fill="ECFDF5"/>
          </w:tcPr>
          <w:p>
            <w:r>
              <w:t>10:45–12:00</w:t>
            </w:r>
          </w:p>
        </w:tc>
        <w:tc>
          <w:tcPr>
            <w:tcW w:type="dxa" w:w="1728"/>
            <w:shd w:val="clear" w:color="auto" w:fill="ECFDF5"/>
          </w:tcPr>
          <w:p>
            <w:r>
              <w:t>75</w:t>
            </w:r>
          </w:p>
        </w:tc>
        <w:tc>
          <w:tcPr>
            <w:tcW w:type="dxa" w:w="1728"/>
            <w:shd w:val="clear" w:color="auto" w:fill="ECFDF5"/>
          </w:tcPr>
          <w:p>
            <w:r>
              <w:t>Lab</w:t>
            </w:r>
          </w:p>
        </w:tc>
        <w:tc>
          <w:tcPr>
            <w:tcW w:type="dxa" w:w="1728"/>
            <w:shd w:val="clear" w:color="auto" w:fill="ECFDF5"/>
          </w:tcPr>
          <w:p>
            <w:r>
              <w:t>Lab 06 — Raycast, Touch and Spatial Feedback</w:t>
            </w:r>
          </w:p>
        </w:tc>
        <w:tc>
          <w:tcPr>
            <w:tcW w:type="dxa" w:w="1728"/>
            <w:shd w:val="clear" w:color="auto" w:fill="ECFDF5"/>
          </w:tcPr>
          <w:p>
            <w:r>
              <w:t>Slides 135–138</w:t>
            </w:r>
          </w:p>
        </w:tc>
      </w:tr>
      <w:tr>
        <w:tc>
          <w:tcPr>
            <w:tcW w:type="dxa" w:w="1728"/>
            <w:shd w:val="clear" w:color="auto" w:fill="ECFDF5"/>
          </w:tcPr>
          <w:p>
            <w:r>
              <w:t>12:00–13:15</w:t>
            </w:r>
          </w:p>
        </w:tc>
        <w:tc>
          <w:tcPr>
            <w:tcW w:type="dxa" w:w="1728"/>
            <w:shd w:val="clear" w:color="auto" w:fill="ECFDF5"/>
          </w:tcPr>
          <w:p>
            <w:r>
              <w:t>75</w:t>
            </w:r>
          </w:p>
        </w:tc>
        <w:tc>
          <w:tcPr>
            <w:tcW w:type="dxa" w:w="1728"/>
            <w:shd w:val="clear" w:color="auto" w:fill="ECFDF5"/>
          </w:tcPr>
          <w:p>
            <w:r>
              <w:t>Lab</w:t>
            </w:r>
          </w:p>
        </w:tc>
        <w:tc>
          <w:tcPr>
            <w:tcW w:type="dxa" w:w="1728"/>
            <w:shd w:val="clear" w:color="auto" w:fill="ECFDF5"/>
          </w:tcPr>
          <w:p>
            <w:r>
              <w:t>Lab 07 — Immersive VR, Controllers and Comfort with Topic 3 AR/VR runtime boundary and comfort mechanisms</w:t>
            </w:r>
          </w:p>
        </w:tc>
        <w:tc>
          <w:tcPr>
            <w:tcW w:type="dxa" w:w="1728"/>
            <w:shd w:val="clear" w:color="auto" w:fill="ECFDF5"/>
          </w:tcPr>
          <w:p>
            <w:r>
              <w:t>Slides 165–168</w:t>
            </w:r>
          </w:p>
        </w:tc>
      </w:tr>
      <w:tr>
        <w:tc>
          <w:tcPr>
            <w:tcW w:type="dxa" w:w="1728"/>
            <w:shd w:val="clear" w:color="auto" w:fill="FDE9D9"/>
          </w:tcPr>
          <w:p>
            <w:r>
              <w:t>13:15–14:15</w:t>
            </w:r>
          </w:p>
        </w:tc>
        <w:tc>
          <w:tcPr>
            <w:tcW w:type="dxa" w:w="1728"/>
            <w:shd w:val="clear" w:color="auto" w:fill="FDE9D9"/>
          </w:tcPr>
          <w:p>
            <w:r>
              <w:t>60</w:t>
            </w:r>
          </w:p>
        </w:tc>
        <w:tc>
          <w:tcPr>
            <w:tcW w:type="dxa" w:w="1728"/>
            <w:shd w:val="clear" w:color="auto" w:fill="FDE9D9"/>
          </w:tcPr>
          <w:p>
            <w:r>
              <w:t>Lunch</w:t>
            </w:r>
          </w:p>
        </w:tc>
        <w:tc>
          <w:tcPr>
            <w:tcW w:type="dxa" w:w="1728"/>
            <w:shd w:val="clear" w:color="auto" w:fill="FDE9D9"/>
          </w:tcPr>
          <w:p>
            <w:r>
              <w:t>Lunch break</w:t>
            </w:r>
          </w:p>
        </w:tc>
        <w:tc>
          <w:tcPr>
            <w:tcW w:type="dxa" w:w="1728"/>
            <w:shd w:val="clear" w:color="auto" w:fill="FDE9D9"/>
          </w:tcPr>
          <w:p>
            <w:r>
              <w:t>—</w:t>
            </w:r>
          </w:p>
        </w:tc>
      </w:tr>
      <w:tr>
        <w:tc>
          <w:tcPr>
            <w:tcW w:type="dxa" w:w="1728"/>
            <w:shd w:val="clear" w:color="auto" w:fill="ECFDF5"/>
          </w:tcPr>
          <w:p>
            <w:r>
              <w:t>14:15–15:45</w:t>
            </w:r>
          </w:p>
        </w:tc>
        <w:tc>
          <w:tcPr>
            <w:tcW w:type="dxa" w:w="1728"/>
            <w:shd w:val="clear" w:color="auto" w:fill="ECFDF5"/>
          </w:tcPr>
          <w:p>
            <w:r>
              <w:t>90</w:t>
            </w:r>
          </w:p>
        </w:tc>
        <w:tc>
          <w:tcPr>
            <w:tcW w:type="dxa" w:w="1728"/>
            <w:shd w:val="clear" w:color="auto" w:fill="ECFDF5"/>
          </w:tcPr>
          <w:p>
            <w:r>
              <w:t>Lab</w:t>
            </w:r>
          </w:p>
        </w:tc>
        <w:tc>
          <w:tcPr>
            <w:tcW w:type="dxa" w:w="1728"/>
            <w:shd w:val="clear" w:color="auto" w:fill="ECFDF5"/>
          </w:tcPr>
          <w:p>
            <w:r>
              <w:t>Lab 08 — Runtime Review, Optimisation and Handover: evidence, bounded adjustment, regression and handover</w:t>
            </w:r>
          </w:p>
        </w:tc>
        <w:tc>
          <w:tcPr>
            <w:tcW w:type="dxa" w:w="1728"/>
            <w:shd w:val="clear" w:color="auto" w:fill="ECFDF5"/>
          </w:tcPr>
          <w:p>
            <w:r>
              <w:t>Slides 184–187</w:t>
            </w:r>
          </w:p>
        </w:tc>
      </w:tr>
      <w:tr>
        <w:tc>
          <w:tcPr>
            <w:tcW w:type="dxa" w:w="1728"/>
            <w:shd w:val="clear" w:color="auto" w:fill="FFF7ED"/>
          </w:tcPr>
          <w:p>
            <w:r>
              <w:t>15:45–16:00</w:t>
            </w:r>
          </w:p>
        </w:tc>
        <w:tc>
          <w:tcPr>
            <w:tcW w:type="dxa" w:w="1728"/>
            <w:shd w:val="clear" w:color="auto" w:fill="FFF7ED"/>
          </w:tcPr>
          <w:p>
            <w:r>
              <w:t>15</w:t>
            </w:r>
          </w:p>
        </w:tc>
        <w:tc>
          <w:tcPr>
            <w:tcW w:type="dxa" w:w="1728"/>
            <w:shd w:val="clear" w:color="auto" w:fill="FFF7ED"/>
          </w:tcPr>
          <w:p>
            <w:r>
              <w:t>Break</w:t>
            </w:r>
          </w:p>
        </w:tc>
        <w:tc>
          <w:tcPr>
            <w:tcW w:type="dxa" w:w="1728"/>
            <w:shd w:val="clear" w:color="auto" w:fill="FFF7ED"/>
          </w:tcPr>
          <w:p>
            <w:r>
              <w:t>Tea break and assessment attendance</w:t>
            </w:r>
          </w:p>
        </w:tc>
        <w:tc>
          <w:tcPr>
            <w:tcW w:type="dxa" w:w="1728"/>
            <w:shd w:val="clear" w:color="auto" w:fill="FFF7ED"/>
          </w:tcPr>
          <w:p>
            <w:r>
              <w:t>—</w:t>
            </w:r>
          </w:p>
        </w:tc>
      </w:tr>
      <w:tr>
        <w:tc>
          <w:tcPr>
            <w:tcW w:type="dxa" w:w="1728"/>
            <w:shd w:val="clear" w:color="auto" w:fill="FEF2F2"/>
          </w:tcPr>
          <w:p>
            <w:r>
              <w:t>16:00–17:00</w:t>
            </w:r>
          </w:p>
        </w:tc>
        <w:tc>
          <w:tcPr>
            <w:tcW w:type="dxa" w:w="1728"/>
            <w:shd w:val="clear" w:color="auto" w:fill="FEF2F2"/>
          </w:tcPr>
          <w:p>
            <w:r>
              <w:t>60</w:t>
            </w:r>
          </w:p>
        </w:tc>
        <w:tc>
          <w:tcPr>
            <w:tcW w:type="dxa" w:w="1728"/>
            <w:shd w:val="clear" w:color="auto" w:fill="FEF2F2"/>
          </w:tcPr>
          <w:p>
            <w:r>
              <w:t>Assessment</w:t>
            </w:r>
          </w:p>
        </w:tc>
        <w:tc>
          <w:tcPr>
            <w:tcW w:type="dxa" w:w="1728"/>
            <w:shd w:val="clear" w:color="auto" w:fill="FEF2F2"/>
          </w:tcPr>
          <w:p>
            <w:r>
              <w:t>Written Assessment (SAQ) — 7 open-ended questions, open book</w:t>
            </w:r>
          </w:p>
        </w:tc>
        <w:tc>
          <w:tcPr>
            <w:tcW w:type="dxa" w:w="1728"/>
            <w:shd w:val="clear" w:color="auto" w:fill="FEF2F2"/>
          </w:tcPr>
          <w:p>
            <w:r>
              <w:t>Closing assessment block</w:t>
            </w:r>
          </w:p>
        </w:tc>
      </w:tr>
      <w:tr>
        <w:tc>
          <w:tcPr>
            <w:tcW w:type="dxa" w:w="1728"/>
            <w:shd w:val="clear" w:color="auto" w:fill="FEF2F2"/>
          </w:tcPr>
          <w:p>
            <w:r>
              <w:t>17:00–18:30</w:t>
            </w:r>
          </w:p>
        </w:tc>
        <w:tc>
          <w:tcPr>
            <w:tcW w:type="dxa" w:w="1728"/>
            <w:shd w:val="clear" w:color="auto" w:fill="FEF2F2"/>
          </w:tcPr>
          <w:p>
            <w:r>
              <w:t>90</w:t>
            </w:r>
          </w:p>
        </w:tc>
        <w:tc>
          <w:tcPr>
            <w:tcW w:type="dxa" w:w="1728"/>
            <w:shd w:val="clear" w:color="auto" w:fill="FEF2F2"/>
          </w:tcPr>
          <w:p>
            <w:r>
              <w:t>Assessment</w:t>
            </w:r>
          </w:p>
        </w:tc>
        <w:tc>
          <w:tcPr>
            <w:tcW w:type="dxa" w:w="1728"/>
            <w:shd w:val="clear" w:color="auto" w:fill="FEF2F2"/>
          </w:tcPr>
          <w:p>
            <w:r>
              <w:t>Practical Performance — 3 connected tasks, open book</w:t>
            </w:r>
          </w:p>
        </w:tc>
        <w:tc>
          <w:tcPr>
            <w:tcW w:type="dxa" w:w="1728"/>
            <w:shd w:val="clear" w:color="auto" w:fill="FEF2F2"/>
          </w:tcPr>
          <w:p>
            <w:r>
              <w:t>Closing assessment block</w:t>
            </w:r>
          </w:p>
        </w:tc>
      </w:tr>
    </w:tbl>
    <w:p>
      <w:r>
        <w:rPr>
          <w:b/>
          <w:color w:val="1F6FEB"/>
        </w:rPr>
        <w:t>Training total excluding lunch: 480 minutes (8 hours).</w:t>
      </w:r>
    </w:p>
    <w:p>
      <w:pPr>
        <w:pStyle w:val="Heading1"/>
      </w:pPr>
      <w:r>
        <w:t>Lab-to-Slide and TSC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Lab</w:t>
            </w:r>
          </w:p>
        </w:tc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TSC/LO codes</w:t>
            </w:r>
          </w:p>
        </w:tc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Deck</w:t>
            </w:r>
          </w:p>
        </w:tc>
      </w:tr>
      <w:tr>
        <w:tc>
          <w:tcPr>
            <w:tcW w:type="dxa" w:w="1728"/>
          </w:tcPr>
          <w:p>
            <w:r>
              <w:t>01</w:t>
            </w:r>
          </w:p>
        </w:tc>
        <w:tc>
          <w:tcPr>
            <w:tcW w:type="dxa" w:w="1728"/>
          </w:tcPr>
          <w:p>
            <w:r>
              <w:t>Scene Brief and Prompt Contract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LO1 · K3 · A1</w:t>
            </w:r>
          </w:p>
        </w:tc>
        <w:tc>
          <w:tcPr>
            <w:tcW w:type="dxa" w:w="1728"/>
          </w:tcPr>
          <w:p>
            <w:r>
              <w:t>Slides 34–37</w:t>
            </w:r>
          </w:p>
        </w:tc>
      </w:tr>
      <w:tr>
        <w:tc>
          <w:tcPr>
            <w:tcW w:type="dxa" w:w="1728"/>
          </w:tcPr>
          <w:p>
            <w:r>
              <w:t>02</w:t>
            </w:r>
          </w:p>
        </w:tc>
        <w:tc>
          <w:tcPr>
            <w:tcW w:type="dxa" w:w="1728"/>
          </w:tcPr>
          <w:p>
            <w:r>
              <w:t>Storyboard and Spatial UI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LO1 · K1 · K2 · A2</w:t>
            </w:r>
          </w:p>
        </w:tc>
        <w:tc>
          <w:tcPr>
            <w:tcW w:type="dxa" w:w="1728"/>
          </w:tcPr>
          <w:p>
            <w:r>
              <w:t>Slides 53–56</w:t>
            </w:r>
          </w:p>
        </w:tc>
      </w:tr>
      <w:tr>
        <w:tc>
          <w:tcPr>
            <w:tcW w:type="dxa" w:w="1728"/>
          </w:tcPr>
          <w:p>
            <w:r>
              <w:t>03</w:t>
            </w:r>
          </w:p>
        </w:tc>
        <w:tc>
          <w:tcPr>
            <w:tcW w:type="dxa" w:w="1728"/>
          </w:tcPr>
          <w:p>
            <w:r>
              <w:t>WebXR Capability and Equipment Gate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LO1 · K3 · K5</w:t>
            </w:r>
          </w:p>
        </w:tc>
        <w:tc>
          <w:tcPr>
            <w:tcW w:type="dxa" w:w="1728"/>
          </w:tcPr>
          <w:p>
            <w:r>
              <w:t>Slides 72–75</w:t>
            </w:r>
          </w:p>
        </w:tc>
      </w:tr>
      <w:tr>
        <w:tc>
          <w:tcPr>
            <w:tcW w:type="dxa" w:w="1728"/>
          </w:tcPr>
          <w:p>
            <w:r>
              <w:t>04</w:t>
            </w:r>
          </w:p>
        </w:tc>
        <w:tc>
          <w:tcPr>
            <w:tcW w:type="dxa" w:w="1728"/>
          </w:tcPr>
          <w:p>
            <w:r>
              <w:t>Scene Graph, Lighting and Animation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LO2 · K4 · K5</w:t>
            </w:r>
          </w:p>
        </w:tc>
        <w:tc>
          <w:tcPr>
            <w:tcW w:type="dxa" w:w="1728"/>
          </w:tcPr>
          <w:p>
            <w:r>
              <w:t>Slides 97–100</w:t>
            </w:r>
          </w:p>
        </w:tc>
      </w:tr>
      <w:tr>
        <w:tc>
          <w:tcPr>
            <w:tcW w:type="dxa" w:w="1728"/>
          </w:tcPr>
          <w:p>
            <w:r>
              <w:t>05</w:t>
            </w:r>
          </w:p>
        </w:tc>
        <w:tc>
          <w:tcPr>
            <w:tcW w:type="dxa" w:w="1728"/>
          </w:tcPr>
          <w:p>
            <w:r>
              <w:t>Plane Detection, Hit Test and Anchors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LO2 · K5 · K6</w:t>
            </w:r>
          </w:p>
        </w:tc>
        <w:tc>
          <w:tcPr>
            <w:tcW w:type="dxa" w:w="1728"/>
          </w:tcPr>
          <w:p>
            <w:r>
              <w:t>Slides 116–119</w:t>
            </w:r>
          </w:p>
        </w:tc>
      </w:tr>
      <w:tr>
        <w:tc>
          <w:tcPr>
            <w:tcW w:type="dxa" w:w="1728"/>
          </w:tcPr>
          <w:p>
            <w:r>
              <w:t>06</w:t>
            </w:r>
          </w:p>
        </w:tc>
        <w:tc>
          <w:tcPr>
            <w:tcW w:type="dxa" w:w="1728"/>
          </w:tcPr>
          <w:p>
            <w:r>
              <w:t>Raycast, Touch and Spatial Feedback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LO2 · K2 · A3</w:t>
            </w:r>
          </w:p>
        </w:tc>
        <w:tc>
          <w:tcPr>
            <w:tcW w:type="dxa" w:w="1728"/>
          </w:tcPr>
          <w:p>
            <w:r>
              <w:t>Slides 135–138</w:t>
            </w:r>
          </w:p>
        </w:tc>
      </w:tr>
      <w:tr>
        <w:tc>
          <w:tcPr>
            <w:tcW w:type="dxa" w:w="1728"/>
          </w:tcPr>
          <w:p>
            <w:r>
              <w:t>07</w:t>
            </w:r>
          </w:p>
        </w:tc>
        <w:tc>
          <w:tcPr>
            <w:tcW w:type="dxa" w:w="1728"/>
          </w:tcPr>
          <w:p>
            <w:r>
              <w:t>Immersive VR, Controllers and Comfort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LO3 · K7</w:t>
            </w:r>
          </w:p>
        </w:tc>
        <w:tc>
          <w:tcPr>
            <w:tcW w:type="dxa" w:w="1728"/>
          </w:tcPr>
          <w:p>
            <w:r>
              <w:t>Slides 165–168</w:t>
            </w:r>
          </w:p>
        </w:tc>
      </w:tr>
      <w:tr>
        <w:tc>
          <w:tcPr>
            <w:tcW w:type="dxa" w:w="1728"/>
          </w:tcPr>
          <w:p>
            <w:r>
              <w:t>08</w:t>
            </w:r>
          </w:p>
        </w:tc>
        <w:tc>
          <w:tcPr>
            <w:tcW w:type="dxa" w:w="1728"/>
          </w:tcPr>
          <w:p>
            <w:r>
              <w:t>Runtime Review, Optimisation and Handover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LO3 · A3 · A4</w:t>
            </w:r>
          </w:p>
        </w:tc>
        <w:tc>
          <w:tcPr>
            <w:tcW w:type="dxa" w:w="1728"/>
          </w:tcPr>
          <w:p>
            <w:r>
              <w:t>Slides 184–187</w:t>
            </w:r>
          </w:p>
        </w:tc>
      </w:tr>
    </w:tbl>
    <w:p>
      <w:pPr>
        <w:pStyle w:val="Heading1"/>
      </w:pPr>
      <w:r>
        <w:t>Resource and Safety Notes</w:t>
      </w:r>
    </w:p>
    <w:p>
      <w:pPr>
        <w:pStyle w:val="ListBullet"/>
      </w:pPr>
      <w:r>
        <w:t xml:space="preserve">Live learner Playground: </w:t>
      </w:r>
      <w:hyperlink r:id="rId11">
        <w:r>
          <w:rPr>
            <w:color w:val="0563C1"/>
            <w:u w:val="single"/>
          </w:rPr>
          <w:t>https://alfredang.github.io/arvr-playground/</w:t>
        </w:r>
      </w:hyperlink>
      <w:r>
        <w:t xml:space="preserve"> (static HTML/CSS/JavaScript; no installation required).</w:t>
      </w:r>
    </w:p>
    <w:p>
      <w:pPr>
        <w:pStyle w:val="ListBullet"/>
      </w:pPr>
      <w:r>
        <w:t>Learner laptop with a current Node.js LTS release and modern Chromium-based browser for source-editing labs.</w:t>
      </w:r>
    </w:p>
    <w:p>
      <w:pPr>
        <w:pStyle w:val="ListBullet"/>
      </w:pPr>
      <w:r>
        <w:t>Optional supported AR/VR device for immersive evidence; desktop preview remains available.</w:t>
      </w:r>
    </w:p>
    <w:p>
      <w:pPr>
        <w:pStyle w:val="ListBullet"/>
      </w:pPr>
      <w:r>
        <w:t>A clear physical play area for immersive demonstrations and active supervision.</w:t>
      </w:r>
    </w:p>
    <w:p>
      <w:pPr>
        <w:pStyle w:val="ListBullet"/>
      </w:pPr>
      <w:r>
        <w:t>Synthetic/local assets only; credentials, personal data and trainer-only answer keys are excluded from coding-agent prompts and public repositories.</w:t>
      </w:r>
    </w:p>
    <w:p>
      <w:pPr>
        <w:pStyle w:val="ListBullet"/>
      </w:pPr>
      <w:r>
        <w:t>Current source references are recorded in the Learner Guide.</w:t>
      </w:r>
    </w:p>
    <w:sectPr w:rsidR="00FC693F" w:rsidRPr="0006063C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alfredang.github.io/arvr-playground/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