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8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8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80"/>
        <w:jc w:val="center"/>
      </w:pPr>
      <w:r>
        <w:rPr>
          <w:b/>
          <w:color w:val="111827"/>
          <w:sz w:val="40"/>
        </w:rPr>
        <w:t>Agentic AI for Market Research</w:t>
      </w:r>
    </w:p>
    <w:p>
      <w:pPr>
        <w:spacing w:before="80" w:after="80"/>
        <w:jc w:val="center"/>
      </w:pPr>
      <w:r>
        <w:rPr>
          <w:b w:val="0"/>
          <w:color w:val="111827"/>
          <w:sz w:val="24"/>
        </w:rPr>
        <w:t>TGS Ref No: TGS-2022017520</w:t>
      </w:r>
    </w:p>
    <w:p>
      <w:pPr>
        <w:spacing w:before="0" w:after="8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8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8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14.0</w:t>
      </w:r>
    </w:p>
    <w:p>
      <w:pPr>
        <w:spacing w:after="80"/>
      </w:pPr>
      <w:r>
        <w:br w:type="page"/>
      </w:r>
    </w:p>
    <w:p>
      <w:pPr>
        <w:spacing w:after="8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  <w:cantSplit/>
          <w:tblHeader w:val="true"/>
        </w:trPr>
        <w:tc>
          <w:tcPr>
            <w:tcW w:type="dxa" w:w="2556"/>
            <w:shd w:val="clear" w:color="auto" w:fill="1F6FEB"/>
          </w:tcPr>
          <w:p>
            <w:pPr>
              <w:keepNext/>
              <w:spacing w:after="40"/>
            </w:pPr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56"/>
            <w:shd w:val="clear" w:color="auto" w:fill="1F6FEB"/>
          </w:tcPr>
          <w:p>
            <w:pPr>
              <w:keepNext/>
              <w:spacing w:after="40"/>
            </w:pPr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56"/>
            <w:shd w:val="clear" w:color="auto" w:fill="1F6FEB"/>
          </w:tcPr>
          <w:p>
            <w:pPr>
              <w:keepNext/>
              <w:spacing w:after="40"/>
            </w:pPr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56"/>
            <w:shd w:val="clear" w:color="auto" w:fill="1F6FEB"/>
          </w:tcPr>
          <w:p>
            <w:pPr>
              <w:keepNext/>
              <w:spacing w:after="40"/>
            </w:pPr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rPr>
          <w:cantSplit/>
          <w:cantSplit/>
        </w:trPr>
        <w:tc>
          <w:tcPr>
            <w:tcW w:type="dxa" w:w="2556"/>
          </w:tcPr>
          <w:p>
            <w:pPr>
              <w:keepNext/>
              <w:spacing w:after="40"/>
            </w:pPr>
            <w:r/>
            <w:r>
              <w:rPr>
                <w:sz w:val="19"/>
              </w:rPr>
              <w:t>13.0</w:t>
            </w:r>
          </w:p>
        </w:tc>
        <w:tc>
          <w:tcPr>
            <w:tcW w:type="dxa" w:w="2556"/>
          </w:tcPr>
          <w:p>
            <w:pPr>
              <w:keepNext/>
              <w:spacing w:after="40"/>
            </w:pPr>
            <w:r/>
            <w:r>
              <w:rPr>
                <w:sz w:val="19"/>
              </w:rPr>
              <w:t>Legacy supplied deck</w:t>
            </w:r>
          </w:p>
        </w:tc>
        <w:tc>
          <w:tcPr>
            <w:tcW w:type="dxa" w:w="2556"/>
          </w:tcPr>
          <w:p>
            <w:pPr>
              <w:keepNext/>
              <w:spacing w:after="40"/>
            </w:pPr>
            <w:r/>
            <w:r>
              <w:rPr>
                <w:sz w:val="19"/>
              </w:rPr>
              <w:t>GA4 courseware baseline retained as coverage floor.</w:t>
            </w:r>
          </w:p>
        </w:tc>
        <w:tc>
          <w:tcPr>
            <w:tcW w:type="dxa" w:w="2556"/>
          </w:tcPr>
          <w:p>
            <w:pPr>
              <w:keepNext/>
              <w:spacing w:after="40"/>
            </w:pPr>
            <w:r/>
            <w:r>
              <w:rPr>
                <w:sz w:val="19"/>
              </w:rPr>
              <w:t>Tertiary Infotech Academy</w:t>
            </w:r>
          </w:p>
        </w:tc>
      </w:tr>
      <w:tr>
        <w:trPr>
          <w:cantSplit/>
          <w:cantSplit/>
        </w:trPr>
        <w:tc>
          <w:tcPr>
            <w:tcW w:type="dxa" w:w="2556"/>
          </w:tcPr>
          <w:p>
            <w:pPr>
              <w:keepNext w:val="0"/>
              <w:spacing w:after="40"/>
            </w:pPr>
            <w:r/>
            <w:r>
              <w:rPr>
                <w:sz w:val="19"/>
              </w:rPr>
              <w:t>14.0</w:t>
            </w:r>
          </w:p>
        </w:tc>
        <w:tc>
          <w:tcPr>
            <w:tcW w:type="dxa" w:w="2556"/>
          </w:tcPr>
          <w:p>
            <w:pPr>
              <w:keepNext w:val="0"/>
              <w:spacing w:after="40"/>
            </w:pPr>
            <w:r/>
            <w:r>
              <w:rPr>
                <w:sz w:val="19"/>
              </w:rPr>
              <w:t>13 September 2026</w:t>
            </w:r>
          </w:p>
        </w:tc>
        <w:tc>
          <w:tcPr>
            <w:tcW w:type="dxa" w:w="2556"/>
          </w:tcPr>
          <w:p>
            <w:pPr>
              <w:keepNext w:val="0"/>
              <w:spacing w:after="40"/>
            </w:pPr>
            <w:r>
              <w:t>Agentic research rebuild:Claude Cowork marketing,Claude Code,14 Activities,source checks,GA4 measurement contracts and filed60+90 minute assessment timing.</w:t>
            </w:r>
            <w:r>
              <w:rPr>
                <w:sz w:val="19"/>
              </w:rPr>
            </w:r>
          </w:p>
        </w:tc>
        <w:tc>
          <w:tcPr>
            <w:tcW w:type="dxa" w:w="2556"/>
          </w:tcPr>
          <w:p>
            <w:pPr>
              <w:keepNext w:val="0"/>
              <w:spacing w:after="40"/>
            </w:pPr>
            <w:r/>
            <w:r>
              <w:rPr>
                <w:sz w:val="19"/>
              </w:rPr>
              <w:t>Tertiary Infotech Academy</w:t>
            </w:r>
          </w:p>
        </w:tc>
      </w:tr>
    </w:tbl>
    <w:p>
      <w:pPr>
        <w:spacing w:after="80"/>
      </w:pPr>
      <w:r>
        <w:br w:type="page"/>
      </w:r>
    </w:p>
    <w:p>
      <w:pPr>
        <w:spacing w:after="80"/>
      </w:pPr>
      <w:r>
        <w:rPr>
          <w:b/>
          <w:color w:val="111827"/>
          <w:sz w:val="24"/>
        </w:rPr>
        <w:t>TABLE OF CONTENTS</w:t>
      </w:r>
    </w:p>
    <w:p>
      <w:bookmarkStart w:id="887" w:name="MarketTOCCache"/>
      <w:r>
        <w:fldChar w:fldCharType="begin"/>
        <w:instrText xml:space="preserve"> TOC \o "1-1" \h \z \u \n "1-2" </w:instrText>
        <w:fldChar w:fldCharType="separate"/>
      </w:r>
    </w:p>
    <w:p>
      <w:pPr>
        <w:spacing w:after="60" w:line="240" w:lineRule="auto"/>
      </w:pPr>
      <w:hyperlink w:anchor="MarketHeading0001" w:history="1">
        <w:r>
          <w:rPr>
            <w:rFonts w:ascii="Arial" w:hAnsi="Arial"/>
            <w:sz w:val="21"/>
            <w:color w:val="1F6FEB"/>
            <w:u w:val="single"/>
          </w:rPr>
          <w:t>Course Overview</w:t>
        </w:r>
      </w:hyperlink>
    </w:p>
    <w:p>
      <w:pPr>
        <w:spacing w:after="60" w:line="240" w:lineRule="auto"/>
      </w:pPr>
      <w:hyperlink w:anchor="MarketHeading0002" w:history="1">
        <w:r>
          <w:rPr>
            <w:rFonts w:ascii="Arial" w:hAnsi="Arial"/>
            <w:sz w:val="21"/>
            <w:color w:val="1F6FEB"/>
            <w:u w:val="single"/>
          </w:rPr>
          <w:t>Learning Outcomes</w:t>
        </w:r>
      </w:hyperlink>
    </w:p>
    <w:p>
      <w:pPr>
        <w:spacing w:after="60" w:line="240" w:lineRule="auto"/>
      </w:pPr>
      <w:hyperlink w:anchor="MarketHeading0003" w:history="1">
        <w:r>
          <w:rPr>
            <w:rFonts w:ascii="Arial" w:hAnsi="Arial"/>
            <w:sz w:val="21"/>
            <w:color w:val="1F6FEB"/>
            <w:u w:val="single"/>
          </w:rPr>
          <w:t>Duration and Assessment Reconciliation</w:t>
        </w:r>
      </w:hyperlink>
    </w:p>
    <w:p>
      <w:pPr>
        <w:spacing w:after="60" w:line="240" w:lineRule="auto"/>
      </w:pPr>
      <w:hyperlink w:anchor="MarketHeading0004" w:history="1">
        <w:r>
          <w:rPr>
            <w:rFonts w:ascii="Arial" w:hAnsi="Arial"/>
            <w:sz w:val="21"/>
            <w:color w:val="1F6FEB"/>
            <w:u w:val="single"/>
          </w:rPr>
          <w:t>Daily Schedule</w:t>
        </w:r>
      </w:hyperlink>
    </w:p>
    <w:p>
      <w:pPr>
        <w:spacing w:after="60" w:line="240" w:lineRule="auto"/>
      </w:pPr>
      <w:hyperlink w:anchor="MarketHeading0005" w:history="1">
        <w:r>
          <w:rPr>
            <w:rFonts w:ascii="Arial" w:hAnsi="Arial"/>
            <w:sz w:val="21"/>
            <w:color w:val="1F6FEB"/>
            <w:u w:val="single"/>
          </w:rPr>
          <w:t>Topic and Activity Breakdown</w:t>
        </w:r>
      </w:hyperlink>
    </w:p>
    <w:p>
      <w:pPr>
        <w:spacing w:after="60" w:line="240" w:lineRule="auto"/>
      </w:pPr>
      <w:hyperlink w:anchor="MarketHeading0006" w:history="1">
        <w:r>
          <w:rPr>
            <w:rFonts w:ascii="Arial" w:hAnsi="Arial"/>
            <w:sz w:val="21"/>
            <w:color w:val="1F6FEB"/>
            <w:u w:val="single"/>
          </w:rPr>
          <w:t>Supplementary Filed Coverage</w:t>
        </w:r>
      </w:hyperlink>
    </w:p>
    <w:p>
      <w:pPr>
        <w:spacing w:after="60" w:line="240" w:lineRule="auto"/>
      </w:pPr>
      <w:hyperlink w:anchor="MarketHeading0007" w:history="1">
        <w:r>
          <w:rPr>
            <w:rFonts w:ascii="Arial" w:hAnsi="Arial"/>
            <w:sz w:val="21"/>
            <w:color w:val="1F6FEB"/>
            <w:u w:val="single"/>
          </w:rPr>
          <w:t>Resources and Delivery Controls</w:t>
        </w:r>
      </w:hyperlink>
    </w:p>
    <w:p>
      <w:pPr>
        <w:spacing w:after="60" w:line="240" w:lineRule="auto"/>
      </w:pPr>
      <w:hyperlink w:anchor="MarketHeading0008" w:history="1">
        <w:r>
          <w:rPr>
            <w:rFonts w:ascii="Arial" w:hAnsi="Arial"/>
            <w:sz w:val="21"/>
            <w:color w:val="1F6FEB"/>
            <w:u w:val="single"/>
          </w:rPr>
          <w:t>Assessment</w:t>
        </w:r>
      </w:hyperlink>
    </w:p>
    <w:p>
      <w:r>
        <w:fldChar w:fldCharType="end"/>
      </w:r>
      <w:bookmarkEnd w:id="887"/>
    </w:p>
    <w:p>
      <w:pPr>
        <w:spacing w:after="80"/>
      </w:pPr>
      <w:r>
        <w:br w:type="page"/>
      </w:r>
    </w:p>
    <w:p>
      <w:pPr>
        <w:pStyle w:val="Heading1"/>
        <w:keepNext/>
      </w:pPr>
      <w:bookmarkStart w:id="1001" w:name="MarketHeading0001"/>
      <w:r>
        <w:t>Course Overview</w:t>
      </w:r>
      <w:bookmarkEnd w:id="1001"/>
    </w:p>
    <w:p>
      <w:pPr>
        <w:spacing w:after="80"/>
      </w:pPr>
      <w:r>
        <w:t>Agentic AI for Market Research · TGS-2022017520 · ICT-SNM-3007-1.1. 16 hours across2 days:13.5 training plus2.5 assessment. Cowork marketing synthesis and Claude Code reproducible research use synthetic evidence with GA4-compatible measurement contracts.</w:t>
      </w:r>
    </w:p>
    <w:p>
      <w:pPr>
        <w:pStyle w:val="Heading1"/>
        <w:keepNext/>
      </w:pPr>
      <w:bookmarkStart w:id="1002" w:name="MarketHeading0002"/>
      <w:r>
        <w:t>Learning Outcomes</w:t>
      </w:r>
      <w:bookmarkEnd w:id="1002"/>
    </w:p>
    <w:p>
      <w:pPr>
        <w:spacing w:after="80"/>
      </w:pPr>
      <w:r>
        <w:t>LO1: Identify market-research data types and evaluate sources for quality, relevance and ethical use.</w:t>
      </w:r>
    </w:p>
    <w:p>
      <w:pPr>
        <w:spacing w:after="80"/>
      </w:pPr>
      <w:r>
        <w:t>LO2: Analyse market trends and variables using traceable evidence and reproducible methods.</w:t>
      </w:r>
    </w:p>
    <w:p>
      <w:pPr>
        <w:spacing w:after="80"/>
      </w:pPr>
      <w:r>
        <w:t>LO3: Explore customer behaviour, segments and journeys and develop bounded forecasts.</w:t>
      </w:r>
    </w:p>
    <w:p>
      <w:pPr>
        <w:spacing w:after="80"/>
      </w:pPr>
      <w:r>
        <w:t>LO4: Evaluate marketing effectiveness using measurement models, events and conversions.</w:t>
      </w:r>
    </w:p>
    <w:p>
      <w:pPr>
        <w:pStyle w:val="Heading1"/>
        <w:keepNext/>
      </w:pPr>
      <w:bookmarkStart w:id="1003" w:name="MarketHeading0003"/>
      <w:r>
        <w:t>Duration and Assessment Reconciliation</w:t>
      </w:r>
      <w:bookmarkEnd w:id="1003"/>
    </w:p>
    <w:p>
      <w:pPr>
        <w:spacing w:after="80"/>
      </w:pPr>
      <w:r>
        <w:t>Current filed WA specifies60 minutes and PP 90 minutes. Use15:30–18:00 on Day 2. This preserves the actual TMS13.5+2.5 hour record despite the public page’s2 hour assessment description. Day 1 has8 teaching hours;Day 2 has5.5 teaching hours. Each day has60 minutes lunch,excluded from teaching totals.</w:t>
      </w:r>
    </w:p>
    <w:p>
      <w:pPr>
        <w:pStyle w:val="Heading1"/>
        <w:keepNext/>
      </w:pPr>
      <w:bookmarkStart w:id="1004" w:name="MarketHeading0004"/>
      <w:r>
        <w:t>Daily Schedule</w:t>
      </w:r>
      <w:bookmarkEnd w:id="1004"/>
    </w:p>
    <w:p>
      <w:pPr>
        <w:pStyle w:val="Heading2"/>
        <w:keepNext/>
      </w:pPr>
      <w:r>
        <w:t>Day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  <w:cantSplit/>
          <w:tblHeader w:val="true"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Time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Minutes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Topic / Activity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Method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Slides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09:00–10:00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01: Evidence Registry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14–26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10:00–11:00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02: Cowork Folder Research Brief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27–39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11:00–12:15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75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03: Competitor Triangulation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41–53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12:15–13:30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75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04: Review Themes and Bias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54–66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13:30–14:30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Lunch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Break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14:30–15:45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75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05: Segments and Customer Value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68–80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15:45–17:00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75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Activity 06: Journey and Funnel Diagnostics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81–93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17:00–18:00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07: GA4 Measurement Contract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95–107</w:t>
            </w:r>
          </w:p>
        </w:tc>
      </w:tr>
    </w:tbl>
    <w:p>
      <w:pPr>
        <w:pStyle w:val="Heading2"/>
        <w:keepNext/>
      </w:pPr>
      <w:r>
        <w:t>Day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  <w:cantSplit/>
          <w:tblHeader w:val="true"/>
        </w:trPr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Time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Minutes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Topic / Activity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Method</w:t>
            </w:r>
          </w:p>
        </w:tc>
        <w:tc>
          <w:tcPr>
            <w:tcW w:type="dxa" w:w="2045"/>
          </w:tcPr>
          <w:p>
            <w:pPr>
              <w:keepNext/>
              <w:spacing w:after="40"/>
            </w:pPr>
            <w:r>
              <w:rPr>
                <w:sz w:val="18"/>
              </w:rPr>
              <w:t>Slides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09:00–09:45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45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08: Event Quality and Deduplication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108–120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09:45–10:30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45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09: Conversions and Attribution Limits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121–133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10:30–11:15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45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10: Lifecycle Creative from Evidence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135–147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11:15–12:00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45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11: SEO Content Experiment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149–161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12:00–13:00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Lunch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Break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13:00–13:45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45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12: Bounded Demand Forecast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163–175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13:45–14:45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13: Claude Code Skills and MCP Audit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177–189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14:45–15:30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45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Activity 14: Effectiveness Decision Capstone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Mechanism exhibit;guided practice;review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191–203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15:30–16:30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60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Written Assessment K1–K8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Individual open book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  <w:cantSplit/>
        </w:trPr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16:30–18:00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90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Practical Performance A1–A8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Individual open book</w:t>
            </w:r>
          </w:p>
        </w:tc>
        <w:tc>
          <w:tcPr>
            <w:tcW w:type="dxa" w:w="2045"/>
          </w:tcPr>
          <w:p>
            <w:pPr>
              <w:keepNext w:val="0"/>
              <w:spacing w:after="40"/>
            </w:pPr>
            <w:r>
              <w:rPr>
                <w:sz w:val="18"/>
              </w:rPr>
              <w:t>—</w:t>
            </w:r>
          </w:p>
        </w:tc>
      </w:tr>
    </w:tbl>
    <w:p>
      <w:pPr>
        <w:pStyle w:val="Heading1"/>
        <w:keepNext/>
      </w:pPr>
      <w:bookmarkStart w:id="1005" w:name="MarketHeading0005"/>
      <w:r>
        <w:t>Topic and Activity Breakdown</w:t>
      </w:r>
      <w:bookmarkEnd w:id="1005"/>
    </w:p>
    <w:p>
      <w:pPr>
        <w:pStyle w:val="Heading2"/>
        <w:keepNext/>
      </w:pPr>
      <w:r>
        <w:t>Activity 01 — Evidence Registry · Slides 14–26</w:t>
      </w:r>
    </w:p>
    <w:p>
      <w:pPr>
        <w:spacing w:after="80"/>
      </w:pPr>
      <w:r>
        <w:t>LO1. Classify primary/secondary and qualitative/quantitative sources; record first-party origin, time window and consent; separate direct observations from interpretations.</w:t>
      </w:r>
    </w:p>
    <w:p>
      <w:pPr>
        <w:spacing w:after="80"/>
      </w:pPr>
      <w:r>
        <w:t>Practice:activities/activity-01-evidence-registry · mock-data/sources.csv</w:t>
      </w:r>
    </w:p>
    <w:p>
      <w:pPr>
        <w:spacing w:after="80"/>
      </w:pPr>
      <w:r>
        <w:t>Acceptance:Four uniquely identified sources; each claim states population, period, confidence and an explicit limitation.</w:t>
      </w:r>
    </w:p>
    <w:p>
      <w:pPr>
        <w:spacing w:after="80"/>
      </w:pPr>
      <w:r>
        <w:t>Trainer diagnosis:A global report is used to claim Singapore buying intent. Its population and date do not match the decision, so the claim must be downgraded.</w:t>
      </w:r>
    </w:p>
    <w:p>
      <w:pPr>
        <w:pStyle w:val="Heading2"/>
        <w:keepNext/>
      </w:pPr>
      <w:r>
        <w:t>Activity 02 — Cowork Folder Research Brief · Slides 27–39</w:t>
      </w:r>
    </w:p>
    <w:p>
      <w:pPr>
        <w:spacing w:after="80"/>
      </w:pPr>
      <w:r>
        <w:t>LO1. Inventory -&gt; bounded plan -&gt; approved file reads -&gt; evidence synthesis -&gt; output diff -&gt; human decision. This is a teaching model of task control, not a fabricated Cowork interface.</w:t>
      </w:r>
    </w:p>
    <w:p>
      <w:pPr>
        <w:spacing w:after="80"/>
      </w:pPr>
      <w:r>
        <w:t>Practice:activities/activity-02-cowork-folder-brief · mock-data/campaign-files.csv</w:t>
      </w:r>
    </w:p>
    <w:p>
      <w:pPr>
        <w:spacing w:after="80"/>
      </w:pPr>
      <w:r>
        <w:t>Acceptance:Four manifest records; original input hashes unchanged; two requested outputs; untrusted instruction quoted as data and ignored.</w:t>
      </w:r>
    </w:p>
    <w:p>
      <w:pPr>
        <w:spacing w:after="80"/>
      </w:pPr>
      <w:r>
        <w:t>Trainer diagnosis:An external note tells the agent to upload the folder elsewhere. It is task data, not an authorised instruction, and must not change scope.</w:t>
      </w:r>
    </w:p>
    <w:p>
      <w:pPr>
        <w:pStyle w:val="Heading2"/>
        <w:keepNext/>
      </w:pPr>
      <w:r>
        <w:t>Activity 03 — Competitor Triangulation · Slides 41–53</w:t>
      </w:r>
    </w:p>
    <w:p>
      <w:pPr>
        <w:spacing w:after="80"/>
      </w:pPr>
      <w:r>
        <w:t>LO2. Match comparable features, units and retrieval dates; distinguish vendor claim from independent evidence; triangulate one claim with two source types before promoting it.</w:t>
      </w:r>
    </w:p>
    <w:p>
      <w:pPr>
        <w:spacing w:after="80"/>
      </w:pPr>
      <w:r>
        <w:t>Practice:activities/activity-03-competitor-triangulation · mock-data/competitors.csv</w:t>
      </w:r>
    </w:p>
    <w:p>
      <w:pPr>
        <w:spacing w:after="80"/>
      </w:pPr>
      <w:r>
        <w:t>Acceptance:Hourly prices 60,45,50; all three claim IDs cited; at least two uncertainty statements; no unsupported leadership claim.</w:t>
      </w:r>
    </w:p>
    <w:p>
      <w:pPr>
        <w:spacing w:after="80"/>
      </w:pPr>
      <w:r>
        <w:t>Trainer diagnosis:Cowork labels Harbour the market leader from a 4.8 rating based on eight reviews. Rating and evidence volume must be evaluated separately.</w:t>
      </w:r>
    </w:p>
    <w:p>
      <w:pPr>
        <w:pStyle w:val="Heading2"/>
        <w:keepNext/>
      </w:pPr>
      <w:r>
        <w:t>Activity 04 — Review Themes and Bias · Slides 54–66</w:t>
      </w:r>
    </w:p>
    <w:p>
      <w:pPr>
        <w:spacing w:after="80"/>
      </w:pPr>
      <w:r>
        <w:t>LO2. Define codebook -&gt; quote evidence -&gt; assign theme -&gt; review disagreement -&gt; count -&gt; qualify interpretation. Keep negation and mixed sentiment visible.</w:t>
      </w:r>
    </w:p>
    <w:p>
      <w:pPr>
        <w:spacing w:after="80"/>
      </w:pPr>
      <w:r>
        <w:t>Practice:activities/activity-04-review-themes-bias · mock-data/reviews.csv</w:t>
      </w:r>
    </w:p>
    <w:p>
      <w:pPr>
        <w:spacing w:after="80"/>
      </w:pPr>
      <w:r>
        <w:t>Acceptance:Eight review IDs retained; 3 timing,3 relevance,2 support; R08 mixed qualifier; selection-bias limitation.</w:t>
      </w:r>
    </w:p>
    <w:p>
      <w:pPr>
        <w:spacing w:after="80"/>
      </w:pPr>
      <w:r>
        <w:t>Trainer diagnosis:R08 is flattened into positive sentiment although it says the exercises were rushed. Mixed sentiment needs a separate qualifier.</w:t>
      </w:r>
    </w:p>
    <w:p>
      <w:pPr>
        <w:pStyle w:val="Heading2"/>
        <w:keepNext/>
      </w:pPr>
      <w:r>
        <w:t>Activity 05 — Segments and Customer Value · Slides 68–80</w:t>
      </w:r>
    </w:p>
    <w:p>
      <w:pPr>
        <w:spacing w:after="80"/>
      </w:pPr>
      <w:r>
        <w:t>LO3. Choose observable non-sensitive variables, compute group sizes and values, validate distinct needs with evidence, avoid assigning personas beyond available data.</w:t>
      </w:r>
    </w:p>
    <w:p>
      <w:pPr>
        <w:spacing w:after="80"/>
      </w:pPr>
      <w:r>
        <w:t>Practice:activities/activity-05-segments-customer-value · mock-data/segments.csv</w:t>
      </w:r>
    </w:p>
    <w:p>
      <w:pPr>
        <w:spacing w:after="80"/>
      </w:pPr>
      <w:r>
        <w:t>Acceptance:Margins/customer 300,200,500; total customers 80; no invented demographic traits; retained-margin assumptions explicit.</w:t>
      </w:r>
    </w:p>
    <w:p>
      <w:pPr>
        <w:spacing w:after="80"/>
      </w:pPr>
      <w:r>
        <w:t>Trainer diagnosis:The agent invents an age range and income for each segment. Neither field exists; the persona must remain evidence-constrained.</w:t>
      </w:r>
    </w:p>
    <w:p>
      <w:pPr>
        <w:pStyle w:val="Heading2"/>
        <w:keepNext/>
      </w:pPr>
      <w:r>
        <w:t>Activity 06 — Journey and Funnel Diagnostics · Slides 81–93</w:t>
      </w:r>
    </w:p>
    <w:p>
      <w:pPr>
        <w:spacing w:after="80"/>
      </w:pPr>
      <w:r>
        <w:t>LO3. Use journey-events.csv to validate session-level ordered events in one synthetic cohort and30-day window;derive the aggregate stage counts,then compute conditional and overall rates. Raw aggregate counts alone do not establish a funnel.</w:t>
      </w:r>
    </w:p>
    <w:p>
      <w:pPr>
        <w:spacing w:after="80"/>
      </w:pPr>
      <w:r>
        <w:t>Practice:activities/activity-06-journey-funnel-diagnostics · mock-data/funnel.csv</w:t>
      </w:r>
    </w:p>
    <w:p>
      <w:pPr>
        <w:spacing w:after="80"/>
      </w:pPr>
      <w:r>
        <w:t>Acceptance:Row-level journey-events.csv confirms2400 unique sessions,96 enquiries,48 qualified and12 enrolments;ordered stages share the same session IDs;rates 4%,50%,25%,0.5%;two alternate friction explanations.</w:t>
      </w:r>
    </w:p>
    <w:p>
      <w:pPr>
        <w:spacing w:after="80"/>
      </w:pPr>
      <w:r>
        <w:t>Trainer diagnosis:A month-end enrolment count is divided by a different month’s enquiries. Time-window mismatch invalidates the conversion rate.</w:t>
      </w:r>
    </w:p>
    <w:p>
      <w:pPr>
        <w:pStyle w:val="Heading2"/>
        <w:keepNext/>
      </w:pPr>
      <w:r>
        <w:t>Activity 07 — GA4 Measurement Contract · Slides 95–107</w:t>
      </w:r>
    </w:p>
    <w:p>
      <w:pPr>
        <w:spacing w:after="80"/>
      </w:pPr>
      <w:r>
        <w:t>LO4. Business question -&gt; event trigger -&gt; recommended event -&gt; parameter schema -&gt; consent -&gt; validation evidence -&gt; key-event designation. Avoid treating button clicks as successful submissions.</w:t>
      </w:r>
    </w:p>
    <w:p>
      <w:pPr>
        <w:spacing w:after="80"/>
      </w:pPr>
      <w:r>
        <w:t>Practice:activities/activity-07-ga4-measurement-contract · mock-data/measurement-plan.csv</w:t>
      </w:r>
    </w:p>
    <w:p>
      <w:pPr>
        <w:spacing w:after="80"/>
      </w:pPr>
      <w:r>
        <w:t>Acceptance:Four events with unambiguous success triggers; purchase transaction_id,currency,value,items; no personal-data parameters.</w:t>
      </w:r>
    </w:p>
    <w:p>
      <w:pPr>
        <w:spacing w:after="80"/>
      </w:pPr>
      <w:r>
        <w:t>Trainer diagnosis:generate_lead fires when a form button is pressed even if validation fails. The event trigger must be confirmed successful submission.</w:t>
      </w:r>
    </w:p>
    <w:p>
      <w:pPr>
        <w:pStyle w:val="Heading2"/>
        <w:keepNext/>
      </w:pPr>
      <w:r>
        <w:t>Activity 08 — Event Quality and Deduplication · Slides 108–120</w:t>
      </w:r>
    </w:p>
    <w:p>
      <w:pPr>
        <w:spacing w:after="80"/>
      </w:pPr>
      <w:r>
        <w:t>LO4. Parse schema -&gt; isolate purchases -&gt; validate transaction IDs -&gt; group duplicates -&gt; reconcile value -&gt; emit accepted and quarantined rows -&gt; human review.</w:t>
      </w:r>
    </w:p>
    <w:p>
      <w:pPr>
        <w:spacing w:after="80"/>
      </w:pPr>
      <w:r>
        <w:t>Practice:activities/activity-08-event-quality-deduplication · mock-data/events.csv</w:t>
      </w:r>
    </w:p>
    <w:p>
      <w:pPr>
        <w:spacing w:after="80"/>
      </w:pPr>
      <w:r>
        <w:t>Acceptance:Five raw rows retained in audit; T001 counted once; T002 once; E04 missing-ID; accepted value $1100.</w:t>
      </w:r>
    </w:p>
    <w:p>
      <w:pPr>
        <w:spacing w:after="80"/>
      </w:pPr>
      <w:r>
        <w:t>Trainer diagnosis:Deduplicating by value removes two different $600 orders. Transaction identity, not price equality, determines duplication.</w:t>
      </w:r>
    </w:p>
    <w:p>
      <w:pPr>
        <w:pStyle w:val="Heading2"/>
        <w:keepNext/>
      </w:pPr>
      <w:r>
        <w:t>Activity 09 — Conversions and Attribution Limits · Slides 121–133</w:t>
      </w:r>
    </w:p>
    <w:p>
      <w:pPr>
        <w:spacing w:after="80"/>
      </w:pPr>
      <w:r>
        <w:t>LO4. Define eligible channels and lookback -&gt; order touches -&gt; choose allocation model -&gt; reconcile totals -&gt; compare sensitivity -&gt; distinguish attribution from lift.</w:t>
      </w:r>
    </w:p>
    <w:p>
      <w:pPr>
        <w:spacing w:after="80"/>
      </w:pPr>
      <w:r>
        <w:t>Practice:activities/activity-09-conversions-attribution-limits · mock-data/touchpoints.csv</w:t>
      </w:r>
    </w:p>
    <w:p>
      <w:pPr>
        <w:spacing w:after="80"/>
      </w:pPr>
      <w:r>
        <w:t>Acceptance:Both models reconcile to $2400; paid first-touch $1200; email last-touch $1300; no causal ROI claim.</w:t>
      </w:r>
    </w:p>
    <w:p>
      <w:pPr>
        <w:spacing w:after="80"/>
      </w:pPr>
      <w:r>
        <w:t>Trainer diagnosis:The agent cuts paid search because last-touch credit is zero. Assisted demand and incremental impact require separate investigation.</w:t>
      </w:r>
    </w:p>
    <w:p>
      <w:pPr>
        <w:pStyle w:val="Heading2"/>
        <w:keepNext/>
      </w:pPr>
      <w:r>
        <w:t>Activity 10 — Lifecycle Creative from Evidence · Slides 135–147</w:t>
      </w:r>
    </w:p>
    <w:p>
      <w:pPr>
        <w:spacing w:after="80"/>
      </w:pPr>
      <w:r>
        <w:t>LO3. Evidence brief -&gt; segment need -&gt; approved claim -&gt; channel/consent constraint -&gt; draft variant -&gt; human brand review -&gt; measurement hypothesis.</w:t>
      </w:r>
    </w:p>
    <w:p>
      <w:pPr>
        <w:spacing w:after="80"/>
      </w:pPr>
      <w:r>
        <w:t>Practice:activities/activity-10-lifecycle-creative-evidence · mock-data/lifecycle.csv</w:t>
      </w:r>
    </w:p>
    <w:p>
      <w:pPr>
        <w:spacing w:after="80"/>
      </w:pPr>
      <w:r>
        <w:t>Acceptance:Three segment drafts; claim IDs and CTA; no invented scarcity; send_authorised false; rates use sent.</w:t>
      </w:r>
    </w:p>
    <w:p>
      <w:pPr>
        <w:spacing w:after="80"/>
      </w:pPr>
      <w:r>
        <w:t>Trainer diagnosis:A draft says only two seats remain without inventory evidence. The urgency claim must be removed or verified by an authorised source.</w:t>
      </w:r>
    </w:p>
    <w:p>
      <w:pPr>
        <w:pStyle w:val="Heading2"/>
        <w:keepNext/>
      </w:pPr>
      <w:r>
        <w:t>Activity 11 — SEO Content Experiment · Slides 149–161</w:t>
      </w:r>
    </w:p>
    <w:p>
      <w:pPr>
        <w:spacing w:after="80"/>
      </w:pPr>
      <w:r>
        <w:t>LO2. Normalise query -&gt; classify intent -&gt; map page/claim -&gt; calculate CTR and enquiry rates -&gt; isolate one content change -&gt; define control/window -&gt; assess uncertainty.</w:t>
      </w:r>
    </w:p>
    <w:p>
      <w:pPr>
        <w:spacing w:after="80"/>
      </w:pPr>
      <w:r>
        <w:t>Practice:activities/activity-11-seo-content-experiment · mock-data/search-content.csv</w:t>
      </w:r>
    </w:p>
    <w:p>
      <w:pPr>
        <w:spacing w:after="80"/>
      </w:pPr>
      <w:r>
        <w:t>Acceptance:CTRs 4%,3%,6%,3%; training enquiry/click 12.5%; one isolated change and explicit confounder.</w:t>
      </w:r>
    </w:p>
    <w:p>
      <w:pPr>
        <w:spacing w:after="80"/>
      </w:pPr>
      <w:r>
        <w:t>Trainer diagnosis:A content plan targets the highest-impression query and ignores enquiry quality. Optimise against the decision metric rather than raw reach.</w:t>
      </w:r>
    </w:p>
    <w:p>
      <w:pPr>
        <w:pStyle w:val="Heading2"/>
        <w:keepNext/>
      </w:pPr>
      <w:r>
        <w:t>Activity 12 — Bounded Demand Forecast · Slides 163–175</w:t>
      </w:r>
    </w:p>
    <w:p>
      <w:pPr>
        <w:spacing w:after="80"/>
      </w:pPr>
      <w:r>
        <w:t>LO3. Check regular intervals -&gt; reserve test period -&gt; compute naive baseline -&gt; compare moving average -&gt; record error -&gt; state scenario range -&gt; monitor change.</w:t>
      </w:r>
    </w:p>
    <w:p>
      <w:pPr>
        <w:spacing w:after="80"/>
      </w:pPr>
      <w:r>
        <w:t>Practice:activities/activity-12-bounded-demand-forecast · mock-data/demand.csv</w:t>
      </w:r>
    </w:p>
    <w:p>
      <w:pPr>
        <w:spacing w:after="80"/>
      </w:pPr>
      <w:r>
        <w:t>Acceptance:Naive 104; moving-average 100; August moving-average error 10.67; campaign shift and seasonality caveats.</w:t>
      </w:r>
    </w:p>
    <w:p>
      <w:pPr>
        <w:spacing w:after="80"/>
      </w:pPr>
      <w:r>
        <w:t>Trainer diagnosis:The agent fits an elaborate model to six points and reports a precise probability interval. The data do not support such precision.</w:t>
      </w:r>
    </w:p>
    <w:p>
      <w:pPr>
        <w:pStyle w:val="Heading2"/>
        <w:keepNext/>
      </w:pPr>
      <w:r>
        <w:t>Activity 13 — Claude Code Skills and MCP Audit · Slides 177–189</w:t>
      </w:r>
    </w:p>
    <w:p>
      <w:pPr>
        <w:spacing w:after="80"/>
      </w:pPr>
      <w:r>
        <w:t>LO2. User question -&gt; reviewed Skill -&gt; approved read-only MCP tool -&gt; schema validation -&gt; deterministic calculation -&gt; source-linked report -&gt; reviewer. CSV fallback tests the same data contract.</w:t>
      </w:r>
    </w:p>
    <w:p>
      <w:pPr>
        <w:spacing w:after="80"/>
      </w:pPr>
      <w:r>
        <w:t>Practice:activities/activity-13-claude-code-skills-mcp · mock-data/tool-results.csv</w:t>
      </w:r>
    </w:p>
    <w:p>
      <w:pPr>
        <w:spacing w:after="80"/>
      </w:pPr>
      <w:r>
        <w:t>Acceptance:Four source IDs retained; rates 5%,4%,8%,1%,overall 4%; local MCP initialize/list/call test passes; Skill front matter valid; Claude invocation separately evidenced;no live account claimed.</w:t>
      </w:r>
    </w:p>
    <w:p>
      <w:pPr>
        <w:spacing w:after="80"/>
      </w:pPr>
      <w:r>
        <w:t>Trainer diagnosis:The agent treats the Skill as permission to access a production account. Instruction reuse and tool authorisation are separate controls.</w:t>
      </w:r>
    </w:p>
    <w:p>
      <w:pPr>
        <w:pStyle w:val="Heading2"/>
        <w:keepNext/>
      </w:pPr>
      <w:r>
        <w:t>Activity 14 — Effectiveness Decision Capstone · Slides 191–203</w:t>
      </w:r>
    </w:p>
    <w:p>
      <w:pPr>
        <w:spacing w:after="80"/>
      </w:pPr>
      <w:r>
        <w:t>LO4. Reconcile inputs -&gt; compute denominator-aware metrics -&gt; apply margin -&gt; inspect attribution -&gt; challenge confounders -&gt; recommend bounded test -&gt; human approve -&gt; monitor.</w:t>
      </w:r>
    </w:p>
    <w:p>
      <w:pPr>
        <w:spacing w:after="80"/>
      </w:pPr>
      <w:r>
        <w:t>Practice:activities/activity-14-effectiveness-decision-capstone · mock-data/campaigns.csv</w:t>
      </w:r>
    </w:p>
    <w:p>
      <w:pPr>
        <w:spacing w:after="80"/>
      </w:pPr>
      <w:r>
        <w:t>Acceptance:96 leads; spend $2100; revenue $6000; contribution $900; paid CPL40 and contribution0; human approval pending.</w:t>
      </w:r>
    </w:p>
    <w:p>
      <w:pPr>
        <w:spacing w:after="80"/>
      </w:pPr>
      <w:r>
        <w:t>Trainer diagnosis:The report calls paid search profitable because ROAS is 2. At a 50% gross margin, contribution after media spend is zero before other costs.</w:t>
      </w:r>
    </w:p>
    <w:p>
      <w:pPr>
        <w:pStyle w:val="Heading1"/>
        <w:keepNext/>
      </w:pPr>
      <w:bookmarkStart w:id="1006" w:name="MarketHeading0006"/>
      <w:r>
        <w:t>Supplementary Filed Coverage</w:t>
      </w:r>
      <w:bookmarkEnd w:id="1006"/>
    </w:p>
    <w:p>
      <w:pPr>
        <w:spacing w:after="80"/>
      </w:pPr>
      <w:r>
        <w:t>Slide204: Behavioural Analytics and Primary Research — K1 · Combine behavioural traces with primary research; agent output is an analysis artifact, not a new source.</w:t>
      </w:r>
    </w:p>
    <w:p>
      <w:pPr>
        <w:spacing w:after="80"/>
      </w:pPr>
      <w:r>
        <w:t>Slide205: Demographic Segmentation and Bias — K2 · Demographic and behavioural variables answer different questions; do not invent persona attributes.</w:t>
      </w:r>
    </w:p>
    <w:p>
      <w:pPr>
        <w:spacing w:after="80"/>
      </w:pPr>
      <w:r>
        <w:t>Slide206: Pricing Evidence and Willingness to Pay — K3 · GA4 can describe behaviour around offers; independent pricing research and controlled tests are needed for demand interpretation.</w:t>
      </w:r>
    </w:p>
    <w:p>
      <w:pPr>
        <w:spacing w:after="80"/>
      </w:pPr>
      <w:r>
        <w:t>Slide207: Survey Questions That Test a Decision — K4/A3 · Define decision,population,response options and sampling limits before agent-assisted coding.</w:t>
      </w:r>
    </w:p>
    <w:p>
      <w:pPr>
        <w:spacing w:after="80"/>
      </w:pPr>
      <w:r>
        <w:t>Slide208: GA4 Account-to-Stream Boundary — Legacy setup coverage retained as architecture; exact click paths are in the LG and current official documentation.</w:t>
      </w:r>
    </w:p>
    <w:p>
      <w:pPr>
        <w:spacing w:after="80"/>
      </w:pPr>
      <w:r>
        <w:t>Slide209: Dimensions, Metrics and Denominators — LO1/LO2 · A report export is interpretable only when its dimension,metric,scope and filter contract is retained.</w:t>
      </w:r>
    </w:p>
    <w:p>
      <w:pPr>
        <w:spacing w:after="80"/>
      </w:pPr>
      <w:r>
        <w:t>Slide210: GA4 Acquisition and Trend Contract — K5/A4 · Compare aligned periods and source scope; obtain competitor evidence separately.</w:t>
      </w:r>
    </w:p>
    <w:p>
      <w:pPr>
        <w:spacing w:after="80"/>
      </w:pPr>
      <w:r>
        <w:t>Slide211: GA4 Engagement and Behaviour Indicators — A5/A6 · Report exact metric labels and period; benchmark only comparable populations and methods.</w:t>
      </w:r>
    </w:p>
    <w:p>
      <w:pPr>
        <w:spacing w:after="80"/>
      </w:pPr>
      <w:r>
        <w:t>Slide212: GA4 Explorations: Variables to Technique — K7 · Explorations describe observed data; external models must keep assumptions and execution provenance.</w:t>
      </w:r>
    </w:p>
    <w:p>
      <w:pPr>
        <w:spacing w:after="80"/>
      </w:pPr>
      <w:r>
        <w:t>Slide213: Forecast Model Comparison — K6/A7 · Compare predictions on a held-out period,then forecast; six months cannot resolve annual seasonality.</w:t>
      </w:r>
    </w:p>
    <w:p>
      <w:pPr>
        <w:spacing w:after="80"/>
      </w:pPr>
      <w:r>
        <w:t>Slide214: Descriptive, Predictive and Causal Models — K7 · Distinguish descriptive,predictive,causal and allocation models before evaluating marketing effectiveness.</w:t>
      </w:r>
    </w:p>
    <w:p>
      <w:pPr>
        <w:spacing w:after="80"/>
      </w:pPr>
      <w:r>
        <w:t>Slide215: Controlled Creative Experiment — A8 · Specify unit,control,primary metric,window and stop rule; significance needs a suitable statistical analysis.</w:t>
      </w:r>
    </w:p>
    <w:p>
      <w:pPr>
        <w:spacing w:after="80"/>
      </w:pPr>
      <w:r>
        <w:t>Slide216: Conversion Rate, CPA and Revenue ROAS — K8 · Contribution after spend=2400×50%-1200=0; protect metric names and accounting boundaries.</w:t>
      </w:r>
    </w:p>
    <w:p>
      <w:pPr>
        <w:spacing w:after="80"/>
      </w:pPr>
      <w:r>
        <w:t>Slide217: GA4 Key Events and Ads Conversions — LO4 · Current GA4 distinguishes key events from Ads conversions; a drafted contract is not live configuration evidence.</w:t>
      </w:r>
    </w:p>
    <w:p>
      <w:pPr>
        <w:spacing w:after="80"/>
      </w:pPr>
      <w:r>
        <w:t>Slide218: Import and Join Integrity — Legacy data-import coverage retained as a data contract; no real customer identifiers are used in training.</w:t>
      </w:r>
    </w:p>
    <w:p>
      <w:pPr>
        <w:spacing w:after="80"/>
      </w:pPr>
      <w:r>
        <w:t>Integrate supplement exhibits into the corresponding activity session;they do not add contact hours. Coverage includes primary questions,demographics,pricing,GA4 hierarchy,imports,report scope,explorations,forecast comparison and CPA/ROAS.</w:t>
      </w:r>
    </w:p>
    <w:p>
      <w:pPr>
        <w:pStyle w:val="Heading1"/>
        <w:keepNext/>
      </w:pPr>
      <w:bookmarkStart w:id="1007" w:name="MarketHeading0007"/>
      <w:r>
        <w:t>Resources and Delivery Controls</w:t>
      </w:r>
      <w:bookmarkEnd w:id="1007"/>
    </w:p>
    <w:p>
      <w:pPr>
        <w:spacing w:after="80"/>
      </w:pPr>
      <w:r>
        <w:t>Current slide deck,Learner Guide,14 activity folders with mock CSVs,assets,prompt PDFs and guide PDFs;spreadsheet/Python3;authorised Cowork/Claude Code account where available. CSV fallback supports offline analytical practice. Do not expose trainer keys or use production customer data. Required admin slides precede teaching;embed brief introductions and attendance inside the opening session.</w:t>
      </w:r>
    </w:p>
    <w:p>
      <w:pPr>
        <w:pStyle w:val="Heading1"/>
        <w:keepNext/>
      </w:pPr>
      <w:bookmarkStart w:id="1008" w:name="MarketHeading0008"/>
      <w:r>
        <w:t>Assessment</w:t>
      </w:r>
      <w:bookmarkEnd w:id="1008"/>
    </w:p>
    <w:p>
      <w:pPr>
        <w:spacing w:after="80"/>
      </w:pPr>
      <w:r>
        <w:t>Individual open book WA 60 minutes plus PP 90 minutes. Assessor observes K1–K8 and A1–A8;submit evidence on the matching LMS course. Minimum75% attendance and competent outcome;eligibility and funding terms apply. Flow:TRAQOM survey -&gt; assessment digital attendance -&gt; WA then PP -&gt; LMS submission -&gt; signed Assessment Summary Record.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