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1005840" cy="10058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005840" cy="1005840"/>
                    </a:xfrm>
                    <a:prstGeom prst="rect"/>
                  </pic:spPr>
                </pic:pic>
              </a:graphicData>
            </a:graphic>
          </wp:inline>
        </w:drawing>
      </w:r>
    </w:p>
    <w:p/>
    <w:p>
      <w:pPr>
        <w:spacing w:before="0" w:after="40"/>
        <w:jc w:val="center"/>
      </w:pPr>
      <w:r>
        <w:rPr>
          <w:rFonts w:ascii="Arial" w:hAnsi="Arial"/>
          <w:b/>
          <w:color w:val="161B26"/>
          <w:sz w:val="26"/>
        </w:rPr>
        <w:t>Tertiary Infotech Academy Pte Ltd</w:t>
      </w:r>
    </w:p>
    <w:p>
      <w:pPr>
        <w:spacing w:before="0" w:after="400"/>
        <w:jc w:val="center"/>
      </w:pPr>
      <w:r>
        <w:rPr>
          <w:rFonts w:ascii="Arial" w:hAnsi="Arial"/>
          <w:b w:val="0"/>
          <w:color w:val="555B66"/>
          <w:sz w:val="20"/>
        </w:rPr>
        <w:t>UEN: 201200696W</w:t>
      </w:r>
    </w:p>
    <w:p>
      <w:pPr>
        <w:spacing w:before="0" w:after="240"/>
        <w:jc w:val="center"/>
      </w:pPr>
      <w:r>
        <w:rPr>
          <w:rFonts w:ascii="Arial" w:hAnsi="Arial"/>
          <w:b/>
          <w:color w:val="1F6FEB"/>
          <w:sz w:val="52"/>
        </w:rPr>
        <w:t>LESSON PLAN</w:t>
      </w:r>
    </w:p>
    <w:p>
      <w:pPr>
        <w:spacing w:before="0" w:after="160"/>
        <w:jc w:val="center"/>
      </w:pPr>
      <w:r>
        <w:rPr>
          <w:rFonts w:ascii="Arial" w:hAnsi="Arial"/>
          <w:b w:val="0"/>
          <w:color w:val="555B66"/>
          <w:sz w:val="24"/>
        </w:rPr>
        <w:t>For</w:t>
      </w:r>
    </w:p>
    <w:p>
      <w:pPr>
        <w:spacing w:before="0" w:after="280"/>
        <w:jc w:val="center"/>
      </w:pPr>
      <w:r>
        <w:rPr>
          <w:rFonts w:ascii="Arial" w:hAnsi="Arial"/>
          <w:b/>
          <w:color w:val="161B26"/>
          <w:sz w:val="40"/>
        </w:rPr>
        <w:t>Business Process Automation with Power Automate and Copilot Studio Agents</w:t>
      </w:r>
    </w:p>
    <w:p>
      <w:pPr>
        <w:spacing w:before="0" w:after="120"/>
        <w:jc w:val="center"/>
      </w:pPr>
      <w:r>
        <w:rPr>
          <w:rFonts w:ascii="Arial" w:hAnsi="Arial"/>
          <w:b w:val="0"/>
          <w:color w:val="555B66"/>
          <w:sz w:val="24"/>
        </w:rPr>
        <w:t>TGS Ref No: TGS-2022017524</w:t>
      </w:r>
    </w:p>
    <w:p>
      <w:pPr>
        <w:spacing w:before="0" w:after="400"/>
        <w:jc w:val="center"/>
      </w:pPr>
      <w:r>
        <w:rPr>
          <w:rFonts w:ascii="Arial" w:hAnsi="Arial"/>
          <w:b w:val="0"/>
          <w:color w:val="555B66"/>
          <w:sz w:val="24"/>
        </w:rPr>
        <w:t>Duration: 2 Days  ·  9:30am – 6:30pm</w:t>
      </w:r>
    </w:p>
    <w:p>
      <w:pPr>
        <w:spacing w:before="0" w:after="120"/>
        <w:jc w:val="center"/>
      </w:pPr>
      <w:r>
        <w:rPr>
          <w:rFonts w:ascii="Arial" w:hAnsi="Arial"/>
          <w:b w:val="0"/>
          <w:color w:val="555B66"/>
          <w:sz w:val="24"/>
        </w:rPr>
        <w:t>Conducted by</w:t>
      </w:r>
    </w:p>
    <w:p>
      <w:pPr>
        <w:spacing w:before="0" w:after="40"/>
        <w:jc w:val="center"/>
      </w:pPr>
      <w:r>
        <w:rPr>
          <w:rFonts w:ascii="Arial" w:hAnsi="Arial"/>
          <w:b/>
          <w:color w:val="161B26"/>
          <w:sz w:val="26"/>
        </w:rPr>
        <w:t>Tertiary Infotech Academy Pte Ltd</w:t>
      </w:r>
    </w:p>
    <w:p>
      <w:pPr>
        <w:spacing w:before="0" w:after="360"/>
        <w:jc w:val="center"/>
      </w:pPr>
      <w:r>
        <w:rPr>
          <w:rFonts w:ascii="Arial" w:hAnsi="Arial"/>
          <w:b w:val="0"/>
          <w:color w:val="555B66"/>
          <w:sz w:val="20"/>
        </w:rPr>
        <w:t>UEN: 201200696W</w:t>
      </w:r>
    </w:p>
    <w:p>
      <w:pPr>
        <w:spacing w:before="0" w:after="80"/>
        <w:jc w:val="center"/>
      </w:pPr>
      <w:r>
        <w:rPr>
          <w:rFonts w:ascii="Arial" w:hAnsi="Arial"/>
          <w:b/>
          <w:color w:val="1F6FEB"/>
          <w:sz w:val="24"/>
        </w:rPr>
        <w:t>Version 8.2</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24 Jun 2026</w:t>
            </w:r>
          </w:p>
        </w:tc>
        <w:tc>
          <w:tcPr>
            <w:tcW w:type="dxa" w:w="2160"/>
          </w:tcPr>
          <w:p>
            <w:r/>
            <w:r>
              <w:rPr>
                <w:sz w:val="19"/>
              </w:rPr>
              <w:t>Initial release — 3-day lesson plan (9:00am-5:00pm).</w:t>
            </w:r>
          </w:p>
        </w:tc>
        <w:tc>
          <w:tcPr>
            <w:tcW w:type="dxa" w:w="2160"/>
          </w:tcPr>
          <w:p>
            <w:r/>
            <w:r>
              <w:rPr>
                <w:sz w:val="19"/>
              </w:rPr>
              <w:t>Course Development Team</w:t>
            </w:r>
          </w:p>
        </w:tc>
      </w:tr>
      <w:tr>
        <w:tc>
          <w:tcPr>
            <w:tcW w:type="dxa" w:w="2160"/>
          </w:tcPr>
          <w:p>
            <w:r/>
            <w:r>
              <w:rPr>
                <w:sz w:val="19"/>
              </w:rPr>
              <w:t>2.0</w:t>
            </w:r>
          </w:p>
        </w:tc>
        <w:tc>
          <w:tcPr>
            <w:tcW w:type="dxa" w:w="2160"/>
          </w:tcPr>
          <w:p>
            <w:r/>
            <w:r>
              <w:rPr>
                <w:sz w:val="19"/>
              </w:rPr>
              <w:t>2 Jul 2026</w:t>
            </w:r>
          </w:p>
        </w:tc>
        <w:tc>
          <w:tcPr>
            <w:tcW w:type="dxa" w:w="2160"/>
          </w:tcPr>
          <w:p>
            <w:r/>
            <w:r>
              <w:rPr>
                <w:sz w:val="19"/>
              </w:rPr>
              <w:t>WSQ revision — new course title, 9:00am-6:00pm schedule, Day-3 assessment block (WA 1 hr + PP 1 hr), slide mapping for the 108-slide deck.</w:t>
            </w:r>
          </w:p>
        </w:tc>
        <w:tc>
          <w:tcPr>
            <w:tcW w:type="dxa" w:w="2160"/>
          </w:tcPr>
          <w:p>
            <w:r/>
            <w:r>
              <w:rPr>
                <w:sz w:val="19"/>
              </w:rPr>
              <w:t>Course Development Team</w:t>
            </w:r>
          </w:p>
        </w:tc>
      </w:tr>
      <w:tr>
        <w:tc>
          <w:tcPr>
            <w:tcW w:type="dxa" w:w="2160"/>
          </w:tcPr>
          <w:p>
            <w:r/>
            <w:r>
              <w:rPr>
                <w:sz w:val="19"/>
              </w:rPr>
              <w:t>3.0</w:t>
            </w:r>
          </w:p>
        </w:tc>
        <w:tc>
          <w:tcPr>
            <w:tcW w:type="dxa" w:w="2160"/>
          </w:tcPr>
          <w:p>
            <w:r/>
            <w:r>
              <w:rPr>
                <w:sz w:val="19"/>
              </w:rPr>
              <w:t>3 Jul 2026</w:t>
            </w:r>
          </w:p>
        </w:tc>
        <w:tc>
          <w:tcPr>
            <w:tcW w:type="dxa" w:w="2160"/>
          </w:tcPr>
          <w:p>
            <w:r/>
            <w:r>
              <w:rPr>
                <w:sz w:val="19"/>
              </w:rPr>
              <w:t>Course restructured from 3 days to 2 days — Day 1: Power Automate, Day 2: Copilot Studio agents ending with the assessment block (WA 1 hr + PP 1 hr, 4:00-6:00pm). Modules 4-5 and Labs 12-16 retired; slide mapping updated for the 86-slide v3 deck.</w:t>
            </w:r>
          </w:p>
        </w:tc>
        <w:tc>
          <w:tcPr>
            <w:tcW w:type="dxa" w:w="2160"/>
          </w:tcPr>
          <w:p>
            <w:r/>
            <w:r>
              <w:rPr>
                <w:sz w:val="19"/>
              </w:rPr>
              <w:t>Course Development Team</w:t>
            </w:r>
          </w:p>
        </w:tc>
      </w:tr>
      <w:tr>
        <w:tc>
          <w:tcPr>
            <w:tcW w:type="dxa" w:w="2160"/>
          </w:tcPr>
          <w:p>
            <w:r/>
            <w:r>
              <w:rPr>
                <w:sz w:val="19"/>
              </w:rPr>
              <w:t>3.1</w:t>
            </w:r>
          </w:p>
        </w:tc>
        <w:tc>
          <w:tcPr>
            <w:tcW w:type="dxa" w:w="2160"/>
          </w:tcPr>
          <w:p>
            <w:r/>
            <w:r>
              <w:rPr>
                <w:sz w:val="19"/>
              </w:rPr>
              <w:t>24 Jul 2026</w:t>
            </w:r>
          </w:p>
        </w:tc>
        <w:tc>
          <w:tcPr>
            <w:tcW w:type="dxa" w:w="2160"/>
          </w:tcPr>
          <w:p>
            <w:r/>
            <w:r>
              <w:rPr>
                <w:sz w:val="19"/>
              </w:rPr>
              <w:t>Labs 8-10 updated to paired Microsoft Teams and website experiences covering an ordinary HTTP flow, deterministic agent flow, and guarded AI prompt flow.</w:t>
            </w:r>
          </w:p>
        </w:tc>
        <w:tc>
          <w:tcPr>
            <w:tcW w:type="dxa" w:w="2160"/>
          </w:tcPr>
          <w:p>
            <w:r/>
            <w:r>
              <w:rPr>
                <w:sz w:val="19"/>
              </w:rPr>
              <w:t>Course Development Team</w:t>
            </w:r>
          </w:p>
        </w:tc>
      </w:tr>
      <w:tr>
        <w:tc>
          <w:tcPr>
            <w:tcW w:type="dxa" w:w="2160"/>
          </w:tcPr>
          <w:p>
            <w:r/>
            <w:r>
              <w:rPr>
                <w:sz w:val="19"/>
              </w:rPr>
              <w:t>3.2</w:t>
            </w:r>
          </w:p>
        </w:tc>
        <w:tc>
          <w:tcPr>
            <w:tcW w:type="dxa" w:w="2160"/>
          </w:tcPr>
          <w:p>
            <w:r/>
            <w:r>
              <w:rPr>
                <w:sz w:val="19"/>
              </w:rPr>
              <w:t>24 Jul 2026</w:t>
            </w:r>
          </w:p>
        </w:tc>
        <w:tc>
          <w:tcPr>
            <w:tcW w:type="dxa" w:w="2160"/>
          </w:tcPr>
          <w:p>
            <w:r/>
            <w:r>
              <w:rPr>
                <w:sz w:val="19"/>
              </w:rPr>
              <w:t>Day 2 now concludes at Lab 10; the former Lab 11 slot is integrated testing, troubleshooting, comparison and assessment preparation.</w:t>
            </w:r>
          </w:p>
        </w:tc>
        <w:tc>
          <w:tcPr>
            <w:tcW w:type="dxa" w:w="2160"/>
          </w:tcPr>
          <w:p>
            <w:r/>
            <w:r>
              <w:rPr>
                <w:sz w:val="19"/>
              </w:rPr>
              <w:t>Course Development Team</w:t>
            </w:r>
          </w:p>
        </w:tc>
      </w:tr>
      <w:tr>
        <w:tc>
          <w:tcPr>
            <w:tcW w:type="dxa" w:w="2160"/>
          </w:tcPr>
          <w:p>
            <w:r/>
            <w:r>
              <w:rPr>
                <w:sz w:val="19"/>
              </w:rPr>
              <w:t>3.3</w:t>
            </w:r>
          </w:p>
        </w:tc>
        <w:tc>
          <w:tcPr>
            <w:tcW w:type="dxa" w:w="2160"/>
          </w:tcPr>
          <w:p>
            <w:r/>
            <w:r>
              <w:rPr>
                <w:sz w:val="19"/>
              </w:rPr>
              <w:t>24 Jul 2026</w:t>
            </w:r>
          </w:p>
        </w:tc>
        <w:tc>
          <w:tcPr>
            <w:tcW w:type="dxa" w:w="2160"/>
          </w:tcPr>
          <w:p>
            <w:r/>
            <w:r>
              <w:rPr>
                <w:sz w:val="19"/>
              </w:rPr>
              <w:t>Reorganised Day 2 into two connected projects: prompt-created IT Support agent upgraded with RAG, followed by one Marina Trust agent progressively upgraded with HTTP, deterministic agent-flow and AI prompt-flow capabilities.</w:t>
            </w:r>
          </w:p>
        </w:tc>
        <w:tc>
          <w:tcPr>
            <w:tcW w:type="dxa" w:w="2160"/>
          </w:tcPr>
          <w:p>
            <w:r/>
            <w:r>
              <w:rPr>
                <w:sz w:val="19"/>
              </w:rPr>
              <w:t>Course Development Team</w:t>
            </w:r>
          </w:p>
        </w:tc>
      </w:tr>
      <w:tr>
        <w:tc>
          <w:tcPr>
            <w:tcW w:type="dxa" w:w="2160"/>
          </w:tcPr>
          <w:p>
            <w:r/>
            <w:r>
              <w:rPr>
                <w:sz w:val="19"/>
              </w:rPr>
              <w:t>3.4</w:t>
            </w:r>
          </w:p>
        </w:tc>
        <w:tc>
          <w:tcPr>
            <w:tcW w:type="dxa" w:w="2160"/>
          </w:tcPr>
          <w:p>
            <w:r/>
            <w:r>
              <w:rPr>
                <w:sz w:val="19"/>
              </w:rPr>
              <w:t>24 Jul 2026</w:t>
            </w:r>
          </w:p>
        </w:tc>
        <w:tc>
          <w:tcPr>
            <w:tcW w:type="dxa" w:w="2160"/>
          </w:tcPr>
          <w:p>
            <w:r/>
            <w:r>
              <w:rPr>
                <w:sz w:val="19"/>
              </w:rPr>
              <w:t>Reordered the practical journey from instant and scheduled flows through automated, approval and HTTP flows, then agent creation, RAG, Teams/website deployment, agent flow and prompt flow.</w:t>
            </w:r>
          </w:p>
        </w:tc>
        <w:tc>
          <w:tcPr>
            <w:tcW w:type="dxa" w:w="2160"/>
          </w:tcPr>
          <w:p>
            <w:r/>
            <w:r>
              <w:rPr>
                <w:sz w:val="19"/>
              </w:rPr>
              <w:t>Course Development Team</w:t>
            </w:r>
          </w:p>
        </w:tc>
      </w:tr>
      <w:tr>
        <w:tc>
          <w:tcPr>
            <w:tcW w:type="dxa" w:w="2160"/>
          </w:tcPr>
          <w:p>
            <w:r/>
            <w:r>
              <w:rPr>
                <w:sz w:val="19"/>
              </w:rPr>
              <w:t>5.0</w:t>
            </w:r>
          </w:p>
        </w:tc>
        <w:tc>
          <w:tcPr>
            <w:tcW w:type="dxa" w:w="2160"/>
          </w:tcPr>
          <w:p>
            <w:r/>
            <w:r>
              <w:rPr>
                <w:sz w:val="19"/>
              </w:rPr>
              <w:t>25 Jul 2026</w:t>
            </w:r>
          </w:p>
        </w:tc>
        <w:tc>
          <w:tcPr>
            <w:tcW w:type="dxa" w:w="2160"/>
          </w:tcPr>
          <w:p>
            <w:r/>
            <w:r>
              <w:rPr>
                <w:sz w:val="19"/>
              </w:rPr>
              <w:t>Rebuilt the course around Forms-driven workflows, specialised IT/HR agents, agent routing, HTTP/webhook websites and a multi-timeframe Finance Advisor capstone.</w:t>
            </w:r>
          </w:p>
        </w:tc>
        <w:tc>
          <w:tcPr>
            <w:tcW w:type="dxa" w:w="2160"/>
          </w:tcPr>
          <w:p>
            <w:r/>
            <w:r>
              <w:rPr>
                <w:sz w:val="19"/>
              </w:rPr>
              <w:t>Course Development Team</w:t>
            </w:r>
          </w:p>
        </w:tc>
      </w:tr>
      <w:tr>
        <w:tc>
          <w:tcPr>
            <w:tcW w:type="dxa" w:w="2160"/>
          </w:tcPr>
          <w:p>
            <w:r/>
            <w:r>
              <w:rPr>
                <w:sz w:val="19"/>
              </w:rPr>
              <w:t>5.1</w:t>
            </w:r>
          </w:p>
        </w:tc>
        <w:tc>
          <w:tcPr>
            <w:tcW w:type="dxa" w:w="2160"/>
          </w:tcPr>
          <w:p>
            <w:r/>
            <w:r>
              <w:rPr>
                <w:sz w:val="19"/>
              </w:rPr>
              <w:t>25 Jul 2026</w:t>
            </w:r>
          </w:p>
        </w:tc>
        <w:tc>
          <w:tcPr>
            <w:tcW w:type="dxa" w:w="2160"/>
          </w:tcPr>
          <w:p>
            <w:r/>
            <w:r>
              <w:rPr>
                <w:sz w:val="19"/>
              </w:rPr>
              <w:t>Aligned the lesson plan to the Version 5.1 deck and the expanded visual, click-by-click Labs 1-10.</w:t>
            </w:r>
          </w:p>
        </w:tc>
        <w:tc>
          <w:tcPr>
            <w:tcW w:type="dxa" w:w="2160"/>
          </w:tcPr>
          <w:p>
            <w:r/>
            <w:r>
              <w:rPr>
                <w:sz w:val="19"/>
              </w:rPr>
              <w:t>Course Development Team</w:t>
            </w:r>
          </w:p>
        </w:tc>
      </w:tr>
      <w:tr>
        <w:tc>
          <w:tcPr>
            <w:tcW w:type="dxa" w:w="2160"/>
          </w:tcPr>
          <w:p>
            <w:r/>
            <w:r>
              <w:rPr>
                <w:sz w:val="19"/>
              </w:rPr>
              <w:t>5.2</w:t>
            </w:r>
          </w:p>
        </w:tc>
        <w:tc>
          <w:tcPr>
            <w:tcW w:type="dxa" w:w="2160"/>
          </w:tcPr>
          <w:p>
            <w:r/>
            <w:r>
              <w:rPr>
                <w:sz w:val="19"/>
              </w:rPr>
              <w:t>25 Jul 2026</w:t>
            </w:r>
          </w:p>
        </w:tc>
        <w:tc>
          <w:tcPr>
            <w:tcW w:type="dxa" w:w="2160"/>
          </w:tcPr>
          <w:p>
            <w:r/>
            <w:r>
              <w:rPr>
                <w:sz w:val="19"/>
              </w:rPr>
              <w:t>Standardised canonical Lab 1-10 titles, durations and slide ranges against the shared alignment manifest and Version 5.2 deck.</w:t>
            </w:r>
          </w:p>
        </w:tc>
        <w:tc>
          <w:tcPr>
            <w:tcW w:type="dxa" w:w="2160"/>
          </w:tcPr>
          <w:p>
            <w:r/>
            <w:r>
              <w:rPr>
                <w:sz w:val="19"/>
              </w:rPr>
              <w:t>Course Development Team</w:t>
            </w:r>
          </w:p>
        </w:tc>
      </w:tr>
      <w:tr>
        <w:tc>
          <w:tcPr>
            <w:tcW w:type="dxa" w:w="2160"/>
          </w:tcPr>
          <w:p>
            <w:r/>
            <w:r>
              <w:rPr>
                <w:sz w:val="19"/>
              </w:rPr>
              <w:t>6.0</w:t>
            </w:r>
          </w:p>
        </w:tc>
        <w:tc>
          <w:tcPr>
            <w:tcW w:type="dxa" w:w="2160"/>
          </w:tcPr>
          <w:p>
            <w:r/>
            <w:r>
              <w:rPr>
                <w:sz w:val="19"/>
              </w:rPr>
              <w:t>25 Jul 2026</w:t>
            </w:r>
          </w:p>
        </w:tc>
        <w:tc>
          <w:tcPr>
            <w:tcW w:type="dxa" w:w="2160"/>
          </w:tcPr>
          <w:p>
            <w:r/>
            <w:r>
              <w:rPr>
                <w:sz w:val="19"/>
              </w:rPr>
              <w:t>Major concept-first overhaul: expanded cloud-flow types, trigger design, agent building blocks, HTTP/webhook foundations and finance-tool governance around the canonical 10-lab sequence and 113-slide deck.</w:t>
            </w:r>
          </w:p>
        </w:tc>
        <w:tc>
          <w:tcPr>
            <w:tcW w:type="dxa" w:w="2160"/>
          </w:tcPr>
          <w:p>
            <w:r/>
            <w:r>
              <w:rPr>
                <w:sz w:val="19"/>
              </w:rPr>
              <w:t>Course Development Team</w:t>
            </w:r>
          </w:p>
        </w:tc>
      </w:tr>
      <w:tr>
        <w:tc>
          <w:tcPr>
            <w:tcW w:type="dxa" w:w="2160"/>
          </w:tcPr>
          <w:p>
            <w:r/>
            <w:r>
              <w:rPr>
                <w:sz w:val="19"/>
              </w:rPr>
              <w:t>7.0</w:t>
            </w:r>
          </w:p>
        </w:tc>
        <w:tc>
          <w:tcPr>
            <w:tcW w:type="dxa" w:w="2160"/>
          </w:tcPr>
          <w:p>
            <w:r/>
            <w:r>
              <w:rPr>
                <w:sz w:val="19"/>
              </w:rPr>
              <w:t>2 Aug 2026</w:t>
            </w:r>
          </w:p>
        </w:tc>
        <w:tc>
          <w:tcPr>
            <w:tcW w:type="dxa" w:w="2160"/>
          </w:tcPr>
          <w:p>
            <w:r/>
            <w:r>
              <w:rPr>
                <w:sz w:val="19"/>
              </w:rPr>
              <w:t>Realigned to the rebuilt Lab 0-10 sequence (Copilot Studio Training Developer environment; trigger/actions, Excel logging, leave approval, Copilot Studio agents, agent invocation, three HTTP labs and two RAG labs). Deck rebuilt as five concept modules plus synthesis, with a workflow diagram slide for every lab, covering Power Automate, Copilot Studio, workflows, agent anatomy, multi-agent orchestration, every trigger and action family, RAG and human-in-the-loop.</w:t>
            </w:r>
          </w:p>
        </w:tc>
        <w:tc>
          <w:tcPr>
            <w:tcW w:type="dxa" w:w="2160"/>
          </w:tcPr>
          <w:p>
            <w:r/>
            <w:r>
              <w:rPr>
                <w:sz w:val="19"/>
              </w:rPr>
              <w:t>Course Development Team</w:t>
            </w:r>
          </w:p>
        </w:tc>
      </w:tr>
      <w:tr>
        <w:tc>
          <w:tcPr>
            <w:tcW w:type="dxa" w:w="2160"/>
          </w:tcPr>
          <w:p>
            <w:r/>
            <w:r>
              <w:rPr>
                <w:sz w:val="19"/>
              </w:rPr>
              <w:t>7.1</w:t>
            </w:r>
          </w:p>
        </w:tc>
        <w:tc>
          <w:tcPr>
            <w:tcW w:type="dxa" w:w="2160"/>
          </w:tcPr>
          <w:p>
            <w:r/>
            <w:r>
              <w:rPr>
                <w:sz w:val="19"/>
              </w:rPr>
              <w:t>6 Aug 2026</w:t>
            </w:r>
          </w:p>
        </w:tc>
        <w:tc>
          <w:tcPr>
            <w:tcW w:type="dxa" w:w="2160"/>
          </w:tcPr>
          <w:p>
            <w:r/>
            <w:r>
              <w:rPr>
                <w:sz w:val="19"/>
              </w:rPr>
              <w:t>Slide references realigned to the expanded 75-slide v7.1 deck: new Copilot Studio content folded into Modules 3-4 (model and harness, choosing a harness, modern orchestration, the new agent and workflow designers, skills as instructions on demand) plus a training-accounts slide in the course overview.</w:t>
            </w:r>
          </w:p>
        </w:tc>
        <w:tc>
          <w:tcPr>
            <w:tcW w:type="dxa" w:w="2160"/>
          </w:tcPr>
          <w:p>
            <w:r/>
            <w:r>
              <w:rPr>
                <w:sz w:val="19"/>
              </w:rPr>
              <w:t>Course Development Team</w:t>
            </w:r>
          </w:p>
        </w:tc>
      </w:tr>
      <w:tr>
        <w:tc>
          <w:tcPr>
            <w:tcW w:type="dxa" w:w="2160"/>
          </w:tcPr>
          <w:p>
            <w:r/>
            <w:r>
              <w:rPr>
                <w:sz w:val="19"/>
              </w:rPr>
              <w:t>7.2</w:t>
            </w:r>
          </w:p>
        </w:tc>
        <w:tc>
          <w:tcPr>
            <w:tcW w:type="dxa" w:w="2160"/>
          </w:tcPr>
          <w:p>
            <w:r/>
            <w:r>
              <w:rPr>
                <w:sz w:val="19"/>
              </w:rPr>
              <w:t>6 Aug 2026</w:t>
            </w:r>
          </w:p>
        </w:tc>
        <w:tc>
          <w:tcPr>
            <w:tcW w:type="dxa" w:w="2160"/>
          </w:tcPr>
          <w:p>
            <w:r/>
            <w:r>
              <w:rPr>
                <w:sz w:val="19"/>
              </w:rPr>
              <w:t>Lab 5 replaced — renamed from Invoke Agents to Calling Agent from Workflow: an agent flow that collects a blog topic at the Start node, drafts the post with M365 Copilot and posts it to the Training team's General channel. Day 2 session and deck references updated to the v7.2 deck.</w:t>
            </w:r>
          </w:p>
        </w:tc>
        <w:tc>
          <w:tcPr>
            <w:tcW w:type="dxa" w:w="2160"/>
          </w:tcPr>
          <w:p>
            <w:r/>
            <w:r>
              <w:rPr>
                <w:sz w:val="19"/>
              </w:rPr>
              <w:t>Course Development Team</w:t>
            </w:r>
          </w:p>
        </w:tc>
      </w:tr>
      <w:tr>
        <w:tc>
          <w:tcPr>
            <w:tcW w:type="dxa" w:w="2160"/>
          </w:tcPr>
          <w:p>
            <w:r/>
            <w:r>
              <w:rPr>
                <w:sz w:val="19"/>
              </w:rPr>
              <w:t>7.3</w:t>
            </w:r>
          </w:p>
        </w:tc>
        <w:tc>
          <w:tcPr>
            <w:tcW w:type="dxa" w:w="2160"/>
          </w:tcPr>
          <w:p>
            <w:r/>
            <w:r>
              <w:rPr>
                <w:sz w:val="19"/>
              </w:rPr>
              <w:t>6 Aug 2026</w:t>
            </w:r>
          </w:p>
        </w:tc>
        <w:tc>
          <w:tcPr>
            <w:tcW w:type="dxa" w:w="2160"/>
          </w:tcPr>
          <w:p>
            <w:r/>
            <w:r>
              <w:rPr>
                <w:sz w:val="19"/>
              </w:rPr>
              <w:t>Aligned to the 13-lab structure and the 80-slide v7.3 deck — Lab 4b (Multi-Agent Content Team) added as the optional Day 1 extension of Lab 4, Lab 5b (Calling Workflow from Agent) scheduled after Lab 5 on Day 2 (recap, Module 4, Lab 6 and Module 5 retimed to fit), and all slide mappings updated.</w:t>
            </w:r>
          </w:p>
        </w:tc>
        <w:tc>
          <w:tcPr>
            <w:tcW w:type="dxa" w:w="2160"/>
          </w:tcPr>
          <w:p>
            <w:r/>
            <w:r>
              <w:rPr>
                <w:sz w:val="19"/>
              </w:rPr>
              <w:t>Course Development Team</w:t>
            </w:r>
          </w:p>
        </w:tc>
      </w:tr>
      <w:tr>
        <w:tc>
          <w:tcPr>
            <w:tcW w:type="dxa" w:w="2160"/>
          </w:tcPr>
          <w:p>
            <w:r/>
            <w:r>
              <w:rPr>
                <w:sz w:val="19"/>
              </w:rPr>
              <w:t>7.4</w:t>
            </w:r>
          </w:p>
        </w:tc>
        <w:tc>
          <w:tcPr>
            <w:tcW w:type="dxa" w:w="2160"/>
          </w:tcPr>
          <w:p>
            <w:r/>
            <w:r>
              <w:rPr>
                <w:sz w:val="19"/>
              </w:rPr>
              <w:t>7 Aug 2026</w:t>
            </w:r>
          </w:p>
        </w:tc>
        <w:tc>
          <w:tcPr>
            <w:tcW w:type="dxa" w:w="2160"/>
          </w:tcPr>
          <w:p>
            <w:r/>
            <w:r>
              <w:rPr>
                <w:sz w:val="19"/>
              </w:rPr>
              <w:t>Deck v7.4 — the Lab 8 workflow slide now shows the live simplified classroom flow (Excel logging removed) captured from the repaired designer build; slide count and mappings unchanged.</w:t>
            </w:r>
          </w:p>
        </w:tc>
        <w:tc>
          <w:tcPr>
            <w:tcW w:type="dxa" w:w="2160"/>
          </w:tcPr>
          <w:p>
            <w:r/>
            <w:r>
              <w:rPr>
                <w:sz w:val="19"/>
              </w:rPr>
              <w:t>Course Development Team</w:t>
            </w:r>
          </w:p>
        </w:tc>
      </w:tr>
      <w:tr>
        <w:tc>
          <w:tcPr>
            <w:tcW w:type="dxa" w:w="2160"/>
          </w:tcPr>
          <w:p>
            <w:r/>
            <w:r>
              <w:rPr>
                <w:sz w:val="19"/>
              </w:rPr>
              <w:t>8.0</w:t>
            </w:r>
          </w:p>
        </w:tc>
        <w:tc>
          <w:tcPr>
            <w:tcW w:type="dxa" w:w="2160"/>
          </w:tcPr>
          <w:p>
            <w:r/>
            <w:r>
              <w:rPr>
                <w:sz w:val="19"/>
              </w:rPr>
              <w:t>4 September 2026</w:t>
            </w:r>
          </w:p>
        </w:tc>
        <w:tc>
          <w:tcPr>
            <w:tcW w:type="dxa" w:w="2160"/>
          </w:tcPr>
          <w:p>
            <w:r/>
            <w:r>
              <w:rPr>
                <w:sz w:val="19"/>
              </w:rPr>
              <w:t>Restructured to 18 individual labs (Lab 0–17) built in the new Copilot Studio; new Lab 4 Email Classification, Labs 5–8 one agent each, Lab 17 publishing; all flows rebuilt as Copilot Studio workflows; real new-designer screenshots embedded in every lab; tenant naming aligned to the built environment (workflows (DO NOT DELETE) on workflows and agents, 30-character agent-name cap); Copilot Credits note</w:t>
            </w:r>
          </w:p>
        </w:tc>
        <w:tc>
          <w:tcPr>
            <w:tcW w:type="dxa" w:w="2160"/>
          </w:tcPr>
          <w:p>
            <w:r/>
            <w:r>
              <w:rPr>
                <w:sz w:val="19"/>
              </w:rPr>
              <w:t>Course Development Team</w:t>
            </w:r>
          </w:p>
        </w:tc>
      </w:tr>
      <w:tr>
        <w:tc>
          <w:tcPr>
            <w:tcW w:type="dxa" w:w="2160"/>
          </w:tcPr>
          <w:p>
            <w:r/>
            <w:r>
              <w:rPr>
                <w:sz w:val="19"/>
              </w:rPr>
              <w:t>8.0.1</w:t>
            </w:r>
          </w:p>
        </w:tc>
        <w:tc>
          <w:tcPr>
            <w:tcW w:type="dxa" w:w="2160"/>
          </w:tcPr>
          <w:p>
            <w:r/>
            <w:r>
              <w:rPr>
                <w:sz w:val="19"/>
              </w:rPr>
              <w:t>4 September 2026</w:t>
            </w:r>
          </w:p>
        </w:tc>
        <w:tc>
          <w:tcPr>
            <w:tcW w:type="dxa" w:w="2160"/>
          </w:tcPr>
          <w:p>
            <w:r/>
            <w:r>
              <w:rPr>
                <w:sz w:val="19"/>
              </w:rPr>
              <w:t>Environment model updated — learners now build in a dedicated per-class Training Class Sandbox environment (reset between cohorts) instead of the trainer's build environment; the reference (DO NOT DELETE) workflows and agents were moved to a separate master reference Sandbox and are read-only for learners. Lab 0 rewritten around switching to the assigned class environment, with a Developer/Sandbox/Trial comparison and a self-study path for creating a personal Developer environment.</w:t>
            </w:r>
          </w:p>
        </w:tc>
        <w:tc>
          <w:tcPr>
            <w:tcW w:type="dxa" w:w="2160"/>
          </w:tcPr>
          <w:p>
            <w:r/>
            <w:r>
              <w:rPr>
                <w:sz w:val="19"/>
              </w:rPr>
              <w:t>Course Development Team</w:t>
            </w:r>
          </w:p>
        </w:tc>
      </w:tr>
      <w:tr>
        <w:tc>
          <w:tcPr>
            <w:tcW w:type="dxa" w:w="2160"/>
          </w:tcPr>
          <w:p>
            <w:r/>
            <w:r>
              <w:rPr>
                <w:sz w:val="19"/>
              </w:rPr>
              <w:t>8.0.2</w:t>
            </w:r>
          </w:p>
        </w:tc>
        <w:tc>
          <w:tcPr>
            <w:tcW w:type="dxa" w:w="2160"/>
          </w:tcPr>
          <w:p>
            <w:r/>
            <w:r>
              <w:rPr>
                <w:sz w:val="19"/>
              </w:rPr>
              <w:t>4 September 2026</w:t>
            </w:r>
          </w:p>
        </w:tc>
        <w:tc>
          <w:tcPr>
            <w:tcW w:type="dxa" w:w="2160"/>
          </w:tcPr>
          <w:p>
            <w:r/>
            <w:r>
              <w:rPr>
                <w:sz w:val="19"/>
              </w:rPr>
              <w:t>Both days re-timed to the house standard 9:30am – 6:30pm — exactly 480 instructional minutes per day (1-hour lunch deducted; the two 15-minute tea breaks counted within), replacing the 9:00am – 6:00pm frame that gave Day 1 450 and Day 2 450 instructional minutes. No lab duration changed; the assessment block moves to 4:30 – 6:30pm. Lab 0 environment references corrected to the Training Class Sandbox.</w:t>
            </w:r>
          </w:p>
        </w:tc>
        <w:tc>
          <w:tcPr>
            <w:tcW w:type="dxa" w:w="2160"/>
          </w:tcPr>
          <w:p>
            <w:r/>
            <w:r>
              <w:rPr>
                <w:sz w:val="19"/>
              </w:rPr>
              <w:t>Course Development Team</w:t>
            </w:r>
          </w:p>
        </w:tc>
      </w:tr>
      <w:tr>
        <w:tc>
          <w:tcPr>
            <w:tcW w:type="dxa" w:w="2160"/>
          </w:tcPr>
          <w:p>
            <w:r/>
            <w:r>
              <w:rPr>
                <w:sz w:val="19"/>
              </w:rPr>
              <w:t>8.1</w:t>
            </w:r>
          </w:p>
        </w:tc>
        <w:tc>
          <w:tcPr>
            <w:tcW w:type="dxa" w:w="2160"/>
          </w:tcPr>
          <w:p>
            <w:r/>
            <w:r>
              <w:rPr>
                <w:sz w:val="19"/>
              </w:rPr>
              <w:t>4 September 2026</w:t>
            </w:r>
          </w:p>
        </w:tc>
        <w:tc>
          <w:tcPr>
            <w:tcW w:type="dxa" w:w="2160"/>
          </w:tcPr>
          <w:p>
            <w:r/>
            <w:r>
              <w:rPr>
                <w:sz w:val="19"/>
              </w:rPr>
              <w:t>Deck lab order corrected — Lab 17 (Publish to Teams, Microsoft 365 Copilot and the Web) now appears LAST, after the two RAG labs, matching the order the Lesson Plan schedules and the Learner Guide follows. Previously the deck grouped it with the Module 3 agent labs, so the slides jumped Lab 11 to Lab 17 and back to Lab 12. No lab content, duration or timing changed.</w:t>
            </w:r>
          </w:p>
        </w:tc>
        <w:tc>
          <w:tcPr>
            <w:tcW w:type="dxa" w:w="2160"/>
          </w:tcPr>
          <w:p>
            <w:r/>
            <w:r>
              <w:rPr>
                <w:sz w:val="19"/>
              </w:rPr>
              <w:t>Course Development Team</w:t>
            </w:r>
          </w:p>
        </w:tc>
      </w:tr>
      <w:tr>
        <w:tc>
          <w:tcPr>
            <w:tcW w:type="dxa" w:w="2160"/>
          </w:tcPr>
          <w:p>
            <w:r/>
            <w:r>
              <w:rPr>
                <w:sz w:val="19"/>
              </w:rPr>
              <w:t>8.2</w:t>
            </w:r>
          </w:p>
        </w:tc>
        <w:tc>
          <w:tcPr>
            <w:tcW w:type="dxa" w:w="2160"/>
          </w:tcPr>
          <w:p>
            <w:r/>
            <w:r>
              <w:rPr>
                <w:sz w:val="19"/>
              </w:rPr>
              <w:t>6 September 2026</w:t>
            </w:r>
          </w:p>
        </w:tc>
        <w:tc>
          <w:tcPr>
            <w:tcW w:type="dxa" w:w="2160"/>
          </w:tcPr>
          <w:p>
            <w:r/>
            <w:r>
              <w:rPr>
                <w:sz w:val="19"/>
              </w:rPr>
              <w:t>Training-account credentials revised — the “Your Training Account” slide and Lab 0 now list two credential sets: the Microsoft 365 Premium learner accounts (Office 365 + Copilot 365, 6 learners each) first, then the two Copilot Studio / Power Automate training accounts (training1 and training2). Passwords are no longer printed in the courseware — the trainer issues them in class. The previous ten-account training1–training10 list is retired.</w:t>
            </w:r>
          </w:p>
        </w:tc>
        <w:tc>
          <w:tcPr>
            <w:tcW w:type="dxa" w:w="2160"/>
          </w:tcPr>
          <w:p>
            <w:r/>
            <w:r>
              <w:rPr>
                <w:sz w:val="19"/>
              </w:rPr>
              <w:t>Course Development Team</w:t>
            </w:r>
          </w:p>
        </w:tc>
      </w:tr>
    </w:tbl>
    <w:p>
      <w:r>
        <w:br w:type="page"/>
      </w:r>
    </w:p>
    <w:p>
      <w:r>
        <w:fldChar w:fldCharType="begin"/>
        <w:instrText xml:space="preserve">TOC \o "1-3" \h \z \u</w:instrText>
        <w:fldChar w:fldCharType="separate"/>
        <w:t/>
        <w:fldChar w:fldCharType="end"/>
      </w:r>
    </w:p>
    <w:p>
      <w:r>
        <w:rPr>
          <w:b/>
          <w:color w:val="161B26"/>
          <w:sz w:val="24"/>
        </w:rPr>
        <w:t>TABLE OF CONTENTS</w:t>
      </w:r>
    </w:p>
    <w:p>
      <w:pPr>
        <w:pStyle w:val="ListBullet"/>
      </w:pPr>
      <w:r>
        <w:t>Course Overview</w:t>
      </w:r>
    </w:p>
    <w:p>
      <w:pPr>
        <w:pStyle w:val="ListBullet"/>
      </w:pPr>
      <w:r>
        <w:t>Learning Outcomes</w:t>
      </w:r>
    </w:p>
    <w:p>
      <w:pPr>
        <w:pStyle w:val="ListBullet"/>
      </w:pPr>
      <w:r>
        <w:t>Daily Schedule — Day 1</w:t>
      </w:r>
    </w:p>
    <w:p>
      <w:pPr>
        <w:pStyle w:val="ListBullet"/>
      </w:pPr>
      <w:r>
        <w:t>Daily Schedule — Day 2</w:t>
      </w:r>
    </w:p>
    <w:p>
      <w:pPr>
        <w:pStyle w:val="ListBullet"/>
      </w:pPr>
      <w:r>
        <w:t>Lab Alignment Reference</w:t>
      </w:r>
    </w:p>
    <w:p>
      <w:pPr>
        <w:pStyle w:val="ListBullet"/>
      </w:pPr>
      <w:r>
        <w:t>Tools &amp; Resources</w:t>
      </w:r>
    </w:p>
    <w:p>
      <w:pPr>
        <w:pStyle w:val="ListBullet"/>
      </w:pPr>
      <w:r>
        <w:t>Assessment</w:t>
      </w:r>
    </w:p>
    <w:p>
      <w:r>
        <w:br w:type="page"/>
      </w:r>
    </w:p>
    <w:p>
      <w:pPr>
        <w:pStyle w:val="Heading1"/>
      </w:pPr>
      <w:r>
        <w:t>Course Overview</w:t>
      </w:r>
    </w:p>
    <w:p>
      <w:r>
        <w:t>This 2-day, hands-on WSQ course teaches participants to automate real business processes by combining Power Automate workflows with AI agents, all built in one designer — Microsoft Copilot Studio (new experience), where workflows and agents live side by side; classic Power Automate is only the connector engine underneath. The course is taught concepts first: five concept modules each introduce the ideas and the decision rules, and the 18 labs (Lab 0–17) that follow apply them. Day 1 moves from deterministic Forms-driven workflows (email, Excel logging, approval branching) through an inbox workflow where a Classify node chooses the branch, to Copilot Studio agents built one part at a time — instructions and knowledge, tools, public knowledge, skills. Day 2 orchestrates a multi-agent team, crosses the workflow/agent boundary in both directions, puts an agent behind a website over HTTP, adds a human review gate, grounds an agent in documents with RAG — first with built-in knowledge, then with an external Pinecone vector store — and publishes an agent to Teams, Microsoft 365 Copilot and the web. Participants finish with working automations and sit the WSQ assessment at the end of Day 2.</w:t>
      </w:r>
    </w:p>
    <w:tbl>
      <w:tblPr>
        <w:tblStyle w:val="TableGrid"/>
        <w:tblW w:type="auto" w:w="0"/>
        <w:jc w:val="center"/>
        <w:tblBorders>
          <w:top w:val="single" w:sz="6" w:space="0" w:color="7A8190"/>
          <w:left w:val="single" w:sz="6" w:space="0" w:color="7A8190"/>
          <w:bottom w:val="single" w:sz="6" w:space="0" w:color="7A8190"/>
          <w:right w:val="single" w:sz="6" w:space="0" w:color="7A8190"/>
          <w:insideH w:val="single" w:sz="6" w:space="0" w:color="7A8190"/>
          <w:insideV w:val="single" w:sz="6" w:space="0" w:color="7A8190"/>
        </w:tblBorders>
        <w:tblLook w:firstColumn="1" w:firstRow="1" w:lastColumn="0" w:lastRow="0" w:noHBand="0" w:noVBand="1" w:val="04A0"/>
      </w:tblPr>
      <w:tblGrid>
        <w:gridCol w:w="4320"/>
        <w:gridCol w:w="4320"/>
      </w:tblGrid>
      <w:tr>
        <w:tc>
          <w:tcPr>
            <w:tcW w:type="dxa" w:w="4320"/>
            <w:shd w:val="clear" w:color="auto" w:fill="EAF1FF"/>
          </w:tcPr>
          <w:p>
            <w:r/>
            <w:r>
              <w:rPr>
                <w:b/>
                <w:sz w:val="20"/>
              </w:rPr>
              <w:t>Course Title</w:t>
            </w:r>
          </w:p>
        </w:tc>
        <w:tc>
          <w:tcPr>
            <w:tcW w:type="dxa" w:w="4320"/>
          </w:tcPr>
          <w:p>
            <w:r/>
            <w:r>
              <w:rPr>
                <w:sz w:val="20"/>
              </w:rPr>
              <w:t>Business Process Automation with Power Automate and Copilot Studio Agents</w:t>
            </w:r>
          </w:p>
        </w:tc>
      </w:tr>
      <w:tr>
        <w:tc>
          <w:tcPr>
            <w:tcW w:type="dxa" w:w="4320"/>
            <w:shd w:val="clear" w:color="auto" w:fill="EAF1FF"/>
          </w:tcPr>
          <w:p>
            <w:r/>
            <w:r>
              <w:rPr>
                <w:b/>
                <w:sz w:val="20"/>
              </w:rPr>
              <w:t>TGS Ref No</w:t>
            </w:r>
          </w:p>
        </w:tc>
        <w:tc>
          <w:tcPr>
            <w:tcW w:type="dxa" w:w="4320"/>
          </w:tcPr>
          <w:p>
            <w:r/>
            <w:r>
              <w:rPr>
                <w:sz w:val="20"/>
              </w:rPr>
              <w:t>TGS-2022017524</w:t>
            </w:r>
          </w:p>
        </w:tc>
      </w:tr>
      <w:tr>
        <w:tc>
          <w:tcPr>
            <w:tcW w:type="dxa" w:w="4320"/>
            <w:shd w:val="clear" w:color="auto" w:fill="EAF1FF"/>
          </w:tcPr>
          <w:p>
            <w:r/>
            <w:r>
              <w:rPr>
                <w:b/>
                <w:sz w:val="20"/>
              </w:rPr>
              <w:t>Duration</w:t>
            </w:r>
          </w:p>
        </w:tc>
        <w:tc>
          <w:tcPr>
            <w:tcW w:type="dxa" w:w="4320"/>
          </w:tcPr>
          <w:p>
            <w:r/>
            <w:r>
              <w:rPr>
                <w:sz w:val="20"/>
              </w:rPr>
              <w:t>2 Days (9:30am – 6:30pm; 8 instructional hours per day, excluding a 1-hour lunch; two 15-minute tea breaks counted within); assessment on Day 2, 4:30 – 6:30pm</w:t>
            </w:r>
          </w:p>
        </w:tc>
      </w:tr>
      <w:tr>
        <w:tc>
          <w:tcPr>
            <w:tcW w:type="dxa" w:w="4320"/>
            <w:shd w:val="clear" w:color="auto" w:fill="EAF1FF"/>
          </w:tcPr>
          <w:p>
            <w:r/>
            <w:r>
              <w:rPr>
                <w:b/>
                <w:sz w:val="20"/>
              </w:rPr>
              <w:t>Delivery</w:t>
            </w:r>
          </w:p>
        </w:tc>
        <w:tc>
          <w:tcPr>
            <w:tcW w:type="dxa" w:w="4320"/>
          </w:tcPr>
          <w:p>
            <w:r/>
            <w:r>
              <w:rPr>
                <w:sz w:val="20"/>
              </w:rPr>
              <w:t>Instructor-led, hands-on (physical / virtual)</w:t>
            </w:r>
          </w:p>
        </w:tc>
      </w:tr>
      <w:tr>
        <w:tc>
          <w:tcPr>
            <w:tcW w:type="dxa" w:w="4320"/>
            <w:shd w:val="clear" w:color="auto" w:fill="EAF1FF"/>
          </w:tcPr>
          <w:p>
            <w:r/>
            <w:r>
              <w:rPr>
                <w:b/>
                <w:sz w:val="20"/>
              </w:rPr>
              <w:t>Audience</w:t>
            </w:r>
          </w:p>
        </w:tc>
        <w:tc>
          <w:tcPr>
            <w:tcW w:type="dxa" w:w="4320"/>
          </w:tcPr>
          <w:p>
            <w:r/>
            <w:r>
              <w:rPr>
                <w:sz w:val="20"/>
              </w:rPr>
              <w:t>Business and operations staff who want to automate repetitive work; no coding required</w:t>
            </w:r>
          </w:p>
        </w:tc>
      </w:tr>
      <w:tr>
        <w:tc>
          <w:tcPr>
            <w:tcW w:type="dxa" w:w="4320"/>
            <w:shd w:val="clear" w:color="auto" w:fill="EAF1FF"/>
          </w:tcPr>
          <w:p>
            <w:r/>
            <w:r>
              <w:rPr>
                <w:b/>
                <w:sz w:val="20"/>
              </w:rPr>
              <w:t>Prerequisites</w:t>
            </w:r>
          </w:p>
        </w:tc>
        <w:tc>
          <w:tcPr>
            <w:tcW w:type="dxa" w:w="4320"/>
          </w:tcPr>
          <w:p>
            <w:r/>
            <w:r>
              <w:rPr>
                <w:sz w:val="20"/>
              </w:rPr>
              <w:t>Basic Microsoft 365 familiarity (Outlook, Excel, Teams); a Microsoft 365 work or school account, a Power Platform Developer environment with Dataverse and Copilot Credits, and Copilot Studio switched to the new experience (all set up in Lab 0); a free Pinecone account for Lab 16</w:t>
            </w:r>
          </w:p>
        </w:tc>
      </w:tr>
      <w:tr>
        <w:tc>
          <w:tcPr>
            <w:tcW w:type="dxa" w:w="4320"/>
            <w:shd w:val="clear" w:color="auto" w:fill="EAF1FF"/>
          </w:tcPr>
          <w:p>
            <w:r/>
            <w:r>
              <w:rPr>
                <w:b/>
                <w:sz w:val="20"/>
              </w:rPr>
              <w:t>Labs</w:t>
            </w:r>
          </w:p>
        </w:tc>
        <w:tc>
          <w:tcPr>
            <w:tcW w:type="dxa" w:w="4320"/>
          </w:tcPr>
          <w:p>
            <w:r/>
            <w:r>
              <w:rPr>
                <w:sz w:val="20"/>
              </w:rPr>
              <w:t>18 step-by-step labs (Lab 0–17) across 2 days, every one built in the new Copilot Studio designer: Labs 0–8 on Day 1 (environment, three workflows, email classification, four agents), Labs 9–17 on Day 2 (multi-agent, agent flows, three HTTP labs, two RAG labs, publishing), driven by 5 concept modules</w:t>
            </w:r>
          </w:p>
        </w:tc>
      </w:tr>
      <w:tr>
        <w:tc>
          <w:tcPr>
            <w:tcW w:type="dxa" w:w="4320"/>
            <w:shd w:val="clear" w:color="auto" w:fill="EAF1FF"/>
          </w:tcPr>
          <w:p>
            <w:r/>
            <w:r>
              <w:rPr>
                <w:b/>
                <w:sz w:val="20"/>
              </w:rPr>
              <w:t>Assessment</w:t>
            </w:r>
          </w:p>
        </w:tc>
        <w:tc>
          <w:tcPr>
            <w:tcW w:type="dxa" w:w="4320"/>
          </w:tcPr>
          <w:p>
            <w:r/>
            <w:r>
              <w:rPr>
                <w:sz w:val="20"/>
              </w:rPr>
              <w:t>Written Assessment (SAQ) 1 hr + Practical Performance (PP) 1 hr — Day 2, 4:30 – 6:30pm, open book</w:t>
            </w:r>
          </w:p>
        </w:tc>
      </w:tr>
    </w:tbl>
    <w:p>
      <w:pPr>
        <w:pStyle w:val="Heading1"/>
      </w:pPr>
      <w:r>
        <w:t>Learning Outcomes</w:t>
      </w:r>
    </w:p>
    <w:p>
      <w:r>
        <w:t>By the end of the course, participants will be able to:</w:t>
      </w:r>
    </w:p>
    <w:p>
      <w:pPr>
        <w:pStyle w:val="ListBullet"/>
      </w:pPr>
      <w:r>
        <w:t>Explain business process automation and the Trigger → Actions → Output model, and identify the four trigger families and the six action families.</w:t>
      </w:r>
    </w:p>
    <w:p>
      <w:pPr>
        <w:pStyle w:val="ListBullet"/>
      </w:pPr>
      <w:r>
        <w:t>Build Forms-driven Copilot Studio workflows that send email, log data to Excel, branch on a condition and suspend for a human approval, and use a Classify node to route incoming email.</w:t>
      </w:r>
    </w:p>
    <w:p>
      <w:pPr>
        <w:pStyle w:val="ListBullet"/>
      </w:pPr>
      <w:r>
        <w:t>Describe an agent as instructions, skills, knowledge, tools and connected agents, and state which of those the model can ignore.</w:t>
      </w:r>
    </w:p>
    <w:p>
      <w:pPr>
        <w:pStyle w:val="ListBullet"/>
      </w:pPr>
      <w:r>
        <w:t>Create and ground Copilot Studio agents in approved SharePoint knowledge, add tools and skills, orchestrate connected agents, test their refusals, and publish them to Microsoft Teams, Microsoft 365 Copilot and a website.</w:t>
      </w:r>
    </w:p>
    <w:p>
      <w:pPr>
        <w:pStyle w:val="ListBullet"/>
      </w:pPr>
      <w:r>
        <w:t>Connect a website to an HTTP-triggered agent flow, apply a JSON schema and use structured output to branch on the agent's decision.</w:t>
      </w:r>
    </w:p>
    <w:p>
      <w:pPr>
        <w:pStyle w:val="ListBullet"/>
      </w:pPr>
      <w:r>
        <w:t>Apply the boundary of agency and human-in-the-loop patterns so consequential actions require a person before they take effect.</w:t>
      </w:r>
    </w:p>
    <w:p>
      <w:pPr>
        <w:pStyle w:val="ListBullet"/>
      </w:pPr>
      <w:r>
        <w:t>Build a Retrieval Augmented Generation chatbot with built-in knowledge and with an external Pinecone vector store, and justify the choice between them.</w:t>
      </w:r>
    </w:p>
    <w:p>
      <w:pPr>
        <w:pStyle w:val="Heading1"/>
      </w:pPr>
      <w:r>
        <w:t>Daily Schedule</w:t>
      </w:r>
    </w:p>
    <w:p>
      <w:r>
        <w:t>The Slides column maps each session to the matching slides in the facilitator deck (Business Process Automation with Power Automate and Copilot Studio Agents-v8.2.pptx, 193 slides) so trainers can pace delivery against the deck.</w:t>
      </w:r>
    </w:p>
    <w:p>
      <w:pPr>
        <w:pStyle w:val="Heading2"/>
      </w:pPr>
      <w:r>
        <w:t>Day 1 — Workflows, then Agents</w:t>
      </w:r>
    </w:p>
    <w:p>
      <w:r>
        <w:t>Modules 1–3: automation concepts, triggers and actions, control flow and human in the loop, email classification, then the agent one part at a time — Labs 0–8.</w:t>
      </w:r>
    </w:p>
    <w:tbl>
      <w:tblPr>
        <w:tblStyle w:val="TableGrid"/>
        <w:tblW w:type="auto" w:w="0"/>
        <w:jc w:val="center"/>
        <w:tblBorders>
          <w:top w:val="single" w:sz="6" w:space="0" w:color="7A8190"/>
          <w:left w:val="single" w:sz="6" w:space="0" w:color="7A8190"/>
          <w:bottom w:val="single" w:sz="6" w:space="0" w:color="7A8190"/>
          <w:right w:val="single" w:sz="6" w:space="0" w:color="7A8190"/>
          <w:insideH w:val="single" w:sz="6" w:space="0" w:color="7A8190"/>
          <w:insideV w:val="single" w:sz="6" w:space="0" w:color="7A8190"/>
        </w:tblBorders>
        <w:tblLook w:firstColumn="1" w:firstRow="1" w:lastColumn="0" w:lastRow="0" w:noHBand="0" w:noVBand="1" w:val="04A0"/>
      </w:tblPr>
      <w:tblGrid>
        <w:gridCol w:w="1728"/>
        <w:gridCol w:w="1728"/>
        <w:gridCol w:w="1728"/>
        <w:gridCol w:w="1728"/>
        <w:gridCol w:w="1728"/>
      </w:tblGrid>
      <w:tr>
        <w:trPr>
          <w:cantSplit/>
        </w:trPr>
        <w:tc>
          <w:tcPr>
            <w:tcW w:type="dxa" w:w="1520"/>
            <w:shd w:val="clear" w:color="auto" w:fill="1F6FEB"/>
          </w:tcPr>
          <w:p>
            <w:r/>
            <w:r>
              <w:rPr>
                <w:b/>
                <w:color w:val="FFFFFF"/>
                <w:sz w:val="19"/>
              </w:rPr>
              <w:t>Time</w:t>
            </w:r>
          </w:p>
        </w:tc>
        <w:tc>
          <w:tcPr>
            <w:tcW w:type="dxa" w:w="1000"/>
            <w:shd w:val="clear" w:color="auto" w:fill="1F6FEB"/>
          </w:tcPr>
          <w:p>
            <w:r/>
            <w:r>
              <w:rPr>
                <w:b/>
                <w:color w:val="FFFFFF"/>
                <w:sz w:val="19"/>
              </w:rPr>
              <w:t>Duration</w:t>
            </w:r>
          </w:p>
        </w:tc>
        <w:tc>
          <w:tcPr>
            <w:tcW w:type="dxa" w:w="1728"/>
            <w:shd w:val="clear" w:color="auto" w:fill="1F6FEB"/>
          </w:tcPr>
          <w:p>
            <w:r/>
            <w:r>
              <w:rPr>
                <w:b/>
                <w:color w:val="FFFFFF"/>
                <w:sz w:val="19"/>
              </w:rPr>
              <w:t>Topic / Activity</w:t>
            </w:r>
          </w:p>
        </w:tc>
        <w:tc>
          <w:tcPr>
            <w:tcW w:type="dxa" w:w="1760"/>
            <w:shd w:val="clear" w:color="auto" w:fill="1F6FEB"/>
          </w:tcPr>
          <w:p>
            <w:r/>
            <w:r>
              <w:rPr>
                <w:b/>
                <w:color w:val="FFFFFF"/>
                <w:sz w:val="19"/>
              </w:rPr>
              <w:t>Method</w:t>
            </w:r>
          </w:p>
        </w:tc>
        <w:tc>
          <w:tcPr>
            <w:tcW w:type="dxa" w:w="1120"/>
            <w:shd w:val="clear" w:color="auto" w:fill="1F6FEB"/>
          </w:tcPr>
          <w:p>
            <w:r/>
            <w:r>
              <w:rPr>
                <w:b/>
                <w:color w:val="FFFFFF"/>
                <w:sz w:val="19"/>
              </w:rPr>
              <w:t>Slides</w:t>
            </w:r>
          </w:p>
        </w:tc>
      </w:tr>
      <w:tr>
        <w:trPr>
          <w:cantSplit/>
        </w:trPr>
        <w:tc>
          <w:tcPr>
            <w:tcW w:type="dxa" w:w="1520"/>
            <w:shd w:val="clear" w:color="auto" w:fill="EAF1FF"/>
          </w:tcPr>
          <w:p>
            <w:r/>
            <w:r>
              <w:rPr>
                <w:sz w:val="19"/>
              </w:rPr>
              <w:t>9:30 – 10:00</w:t>
            </w:r>
          </w:p>
        </w:tc>
        <w:tc>
          <w:tcPr>
            <w:tcW w:type="dxa" w:w="1000"/>
            <w:shd w:val="clear" w:color="auto" w:fill="EAF1FF"/>
          </w:tcPr>
          <w:p>
            <w:r/>
            <w:r>
              <w:rPr>
                <w:sz w:val="19"/>
              </w:rPr>
              <w:t>30 min</w:t>
            </w:r>
          </w:p>
        </w:tc>
        <w:tc>
          <w:tcPr>
            <w:tcW w:type="dxa" w:w="1728"/>
            <w:shd w:val="clear" w:color="auto" w:fill="EAF1FF"/>
          </w:tcPr>
          <w:p>
            <w:r/>
            <w:r>
              <w:rPr>
                <w:b/>
                <w:sz w:val="19"/>
              </w:rPr>
              <w:t>Welcome, WSQ admin &amp; digital attendance, introductions, ground rules, course overview and the 18-lab map</w:t>
            </w:r>
          </w:p>
        </w:tc>
        <w:tc>
          <w:tcPr>
            <w:tcW w:type="dxa" w:w="1760"/>
            <w:shd w:val="clear" w:color="auto" w:fill="EAF1FF"/>
          </w:tcPr>
          <w:p>
            <w:r/>
            <w:r>
              <w:rPr>
                <w:sz w:val="19"/>
              </w:rPr>
              <w:t>Facilitated discussion</w:t>
            </w:r>
          </w:p>
        </w:tc>
        <w:tc>
          <w:tcPr>
            <w:tcW w:type="dxa" w:w="1120"/>
            <w:shd w:val="clear" w:color="auto" w:fill="EAF1FF"/>
          </w:tcPr>
          <w:p>
            <w:r/>
            <w:r>
              <w:rPr>
                <w:sz w:val="19"/>
              </w:rPr>
              <w:t>14–20</w:t>
            </w:r>
          </w:p>
        </w:tc>
      </w:tr>
      <w:tr>
        <w:trPr>
          <w:cantSplit/>
        </w:trPr>
        <w:tc>
          <w:tcPr>
            <w:tcW w:type="dxa" w:w="1520"/>
            <w:shd w:val="clear" w:color="auto" w:fill="EAF1FF"/>
          </w:tcPr>
          <w:p>
            <w:r/>
            <w:r>
              <w:rPr>
                <w:sz w:val="19"/>
              </w:rPr>
              <w:t>10:00 – 10:50</w:t>
            </w:r>
          </w:p>
        </w:tc>
        <w:tc>
          <w:tcPr>
            <w:tcW w:type="dxa" w:w="1000"/>
            <w:shd w:val="clear" w:color="auto" w:fill="EAF1FF"/>
          </w:tcPr>
          <w:p>
            <w:r/>
            <w:r>
              <w:rPr>
                <w:sz w:val="19"/>
              </w:rPr>
              <w:t>50 min</w:t>
            </w:r>
          </w:p>
        </w:tc>
        <w:tc>
          <w:tcPr>
            <w:tcW w:type="dxa" w:w="1728"/>
            <w:shd w:val="clear" w:color="auto" w:fill="EAF1FF"/>
          </w:tcPr>
          <w:p>
            <w:r/>
            <w:r>
              <w:rPr>
                <w:b/>
                <w:sz w:val="19"/>
              </w:rPr>
              <w:t>Module 1: business process automation, the Power Platform and the environment, the Copilot Studio workflow designer, flow anatomy, trigger families, connector action families, dynamic content and Activity</w:t>
            </w:r>
          </w:p>
        </w:tc>
        <w:tc>
          <w:tcPr>
            <w:tcW w:type="dxa" w:w="1760"/>
            <w:shd w:val="clear" w:color="auto" w:fill="EAF1FF"/>
          </w:tcPr>
          <w:p>
            <w:r/>
            <w:r>
              <w:rPr>
                <w:sz w:val="19"/>
              </w:rPr>
              <w:t>Lecture &amp; demo</w:t>
            </w:r>
          </w:p>
        </w:tc>
        <w:tc>
          <w:tcPr>
            <w:tcW w:type="dxa" w:w="1120"/>
            <w:shd w:val="clear" w:color="auto" w:fill="EAF1FF"/>
          </w:tcPr>
          <w:p>
            <w:r/>
            <w:r>
              <w:rPr>
                <w:sz w:val="19"/>
              </w:rPr>
              <w:t>21–37</w:t>
            </w:r>
          </w:p>
        </w:tc>
      </w:tr>
      <w:tr>
        <w:trPr>
          <w:cantSplit/>
        </w:trPr>
        <w:tc>
          <w:tcPr>
            <w:tcW w:type="dxa" w:w="1520"/>
            <w:shd w:val="clear" w:color="auto" w:fill="FFF4E5"/>
          </w:tcPr>
          <w:p>
            <w:r/>
            <w:r>
              <w:rPr>
                <w:sz w:val="19"/>
              </w:rPr>
              <w:t>10:50 – 11:05</w:t>
            </w:r>
          </w:p>
        </w:tc>
        <w:tc>
          <w:tcPr>
            <w:tcW w:type="dxa" w:w="1000"/>
            <w:shd w:val="clear" w:color="auto" w:fill="FFF4E5"/>
          </w:tcPr>
          <w:p>
            <w:r/>
            <w:r>
              <w:rPr>
                <w:sz w:val="19"/>
              </w:rPr>
              <w:t>15 min</w:t>
            </w:r>
          </w:p>
        </w:tc>
        <w:tc>
          <w:tcPr>
            <w:tcW w:type="dxa" w:w="1728"/>
            <w:shd w:val="clear" w:color="auto" w:fill="FFF4E5"/>
          </w:tcPr>
          <w:p>
            <w:r/>
            <w:r>
              <w:rPr>
                <w:sz w:val="19"/>
              </w:rPr>
              <w:t>Tea break</w:t>
            </w:r>
          </w:p>
        </w:tc>
        <w:tc>
          <w:tcPr>
            <w:tcW w:type="dxa" w:w="1760"/>
            <w:shd w:val="clear" w:color="auto" w:fill="FFF4E5"/>
          </w:tcPr>
          <w:p>
            <w:r/>
            <w:r>
              <w:rPr>
                <w:sz w:val="19"/>
              </w:rPr>
              <w:t>—</w:t>
            </w:r>
          </w:p>
        </w:tc>
        <w:tc>
          <w:tcPr>
            <w:tcW w:type="dxa" w:w="1120"/>
            <w:shd w:val="clear" w:color="auto" w:fill="FFF4E5"/>
          </w:tcPr>
          <w:p>
            <w:r/>
            <w:r>
              <w:rPr>
                <w:sz w:val="19"/>
              </w:rPr>
              <w:t>—</w:t>
            </w:r>
          </w:p>
        </w:tc>
      </w:tr>
      <w:tr>
        <w:trPr>
          <w:cantSplit/>
        </w:trPr>
        <w:tc>
          <w:tcPr>
            <w:tcW w:type="dxa" w:w="1520"/>
            <w:shd w:val="clear" w:color="auto" w:fill="E8F7EE"/>
          </w:tcPr>
          <w:p>
            <w:r/>
            <w:r>
              <w:rPr>
                <w:sz w:val="19"/>
              </w:rPr>
              <w:t>11:05 – 11:25</w:t>
            </w:r>
          </w:p>
        </w:tc>
        <w:tc>
          <w:tcPr>
            <w:tcW w:type="dxa" w:w="1000"/>
            <w:shd w:val="clear" w:color="auto" w:fill="E8F7EE"/>
          </w:tcPr>
          <w:p>
            <w:r/>
            <w:r>
              <w:rPr>
                <w:sz w:val="19"/>
              </w:rPr>
              <w:t>20 min</w:t>
            </w:r>
          </w:p>
        </w:tc>
        <w:tc>
          <w:tcPr>
            <w:tcW w:type="dxa" w:w="1728"/>
            <w:shd w:val="clear" w:color="auto" w:fill="E8F7EE"/>
          </w:tcPr>
          <w:p>
            <w:r/>
            <w:r>
              <w:rPr>
                <w:b/>
                <w:sz w:val="19"/>
              </w:rPr>
              <w:t>Lab 0 — Environment Setup — switch to the assigned Training Class Sandbox environment, turn on the new experience and verify connections</w:t>
            </w:r>
          </w:p>
        </w:tc>
        <w:tc>
          <w:tcPr>
            <w:tcW w:type="dxa" w:w="1760"/>
            <w:shd w:val="clear" w:color="auto" w:fill="E8F7EE"/>
          </w:tcPr>
          <w:p>
            <w:r/>
            <w:r>
              <w:rPr>
                <w:sz w:val="19"/>
              </w:rPr>
              <w:t>Hands-on lab</w:t>
            </w:r>
          </w:p>
        </w:tc>
        <w:tc>
          <w:tcPr>
            <w:tcW w:type="dxa" w:w="1120"/>
            <w:shd w:val="clear" w:color="auto" w:fill="E8F7EE"/>
          </w:tcPr>
          <w:p>
            <w:r/>
            <w:r>
              <w:rPr>
                <w:sz w:val="19"/>
              </w:rPr>
              <w:t>38</w:t>
            </w:r>
          </w:p>
        </w:tc>
      </w:tr>
      <w:tr>
        <w:trPr>
          <w:cantSplit/>
        </w:trPr>
        <w:tc>
          <w:tcPr>
            <w:tcW w:type="dxa" w:w="1520"/>
            <w:shd w:val="clear" w:color="auto" w:fill="E8F7EE"/>
          </w:tcPr>
          <w:p>
            <w:r/>
            <w:r>
              <w:rPr>
                <w:sz w:val="19"/>
              </w:rPr>
              <w:t>11:25 – 11:55</w:t>
            </w:r>
          </w:p>
        </w:tc>
        <w:tc>
          <w:tcPr>
            <w:tcW w:type="dxa" w:w="1000"/>
            <w:shd w:val="clear" w:color="auto" w:fill="E8F7EE"/>
          </w:tcPr>
          <w:p>
            <w:r/>
            <w:r>
              <w:rPr>
                <w:sz w:val="19"/>
              </w:rPr>
              <w:t>30 min</w:t>
            </w:r>
          </w:p>
        </w:tc>
        <w:tc>
          <w:tcPr>
            <w:tcW w:type="dxa" w:w="1728"/>
            <w:shd w:val="clear" w:color="auto" w:fill="E8F7EE"/>
          </w:tcPr>
          <w:p>
            <w:r/>
            <w:r>
              <w:rPr>
                <w:b/>
                <w:sz w:val="19"/>
              </w:rPr>
              <w:t>Lab 1 — Trigger and Actions — a Forms trigger and two connector actions: build and verify the form-to-email workflow</w:t>
            </w:r>
          </w:p>
        </w:tc>
        <w:tc>
          <w:tcPr>
            <w:tcW w:type="dxa" w:w="1760"/>
            <w:shd w:val="clear" w:color="auto" w:fill="E8F7EE"/>
          </w:tcPr>
          <w:p>
            <w:r/>
            <w:r>
              <w:rPr>
                <w:sz w:val="19"/>
              </w:rPr>
              <w:t>Hands-on lab</w:t>
            </w:r>
          </w:p>
        </w:tc>
        <w:tc>
          <w:tcPr>
            <w:tcW w:type="dxa" w:w="1120"/>
            <w:shd w:val="clear" w:color="auto" w:fill="E8F7EE"/>
          </w:tcPr>
          <w:p>
            <w:r/>
            <w:r>
              <w:rPr>
                <w:sz w:val="19"/>
              </w:rPr>
              <w:t>42</w:t>
            </w:r>
          </w:p>
        </w:tc>
      </w:tr>
      <w:tr>
        <w:trPr>
          <w:cantSplit/>
        </w:trPr>
        <w:tc>
          <w:tcPr>
            <w:tcW w:type="dxa" w:w="1520"/>
            <w:shd w:val="clear" w:color="auto" w:fill="E8F7EE"/>
          </w:tcPr>
          <w:p>
            <w:r/>
            <w:r>
              <w:rPr>
                <w:sz w:val="19"/>
              </w:rPr>
              <w:t>11:55 – 12:25</w:t>
            </w:r>
          </w:p>
        </w:tc>
        <w:tc>
          <w:tcPr>
            <w:tcW w:type="dxa" w:w="1000"/>
            <w:shd w:val="clear" w:color="auto" w:fill="E8F7EE"/>
          </w:tcPr>
          <w:p>
            <w:r/>
            <w:r>
              <w:rPr>
                <w:sz w:val="19"/>
              </w:rPr>
              <w:t>30 min</w:t>
            </w:r>
          </w:p>
        </w:tc>
        <w:tc>
          <w:tcPr>
            <w:tcW w:type="dxa" w:w="1728"/>
            <w:shd w:val="clear" w:color="auto" w:fill="E8F7EE"/>
          </w:tcPr>
          <w:p>
            <w:r/>
            <w:r>
              <w:rPr>
                <w:b/>
                <w:sz w:val="19"/>
              </w:rPr>
              <w:t>Lab 2 — Log to Excel — commit before you confirm: write the Excel audit row, then send the confirmation</w:t>
            </w:r>
          </w:p>
        </w:tc>
        <w:tc>
          <w:tcPr>
            <w:tcW w:type="dxa" w:w="1760"/>
            <w:shd w:val="clear" w:color="auto" w:fill="E8F7EE"/>
          </w:tcPr>
          <w:p>
            <w:r/>
            <w:r>
              <w:rPr>
                <w:sz w:val="19"/>
              </w:rPr>
              <w:t>Hands-on lab</w:t>
            </w:r>
          </w:p>
        </w:tc>
        <w:tc>
          <w:tcPr>
            <w:tcW w:type="dxa" w:w="1120"/>
            <w:shd w:val="clear" w:color="auto" w:fill="E8F7EE"/>
          </w:tcPr>
          <w:p>
            <w:r/>
            <w:r>
              <w:rPr>
                <w:sz w:val="19"/>
              </w:rPr>
              <w:t>46</w:t>
            </w:r>
          </w:p>
        </w:tc>
      </w:tr>
      <w:tr>
        <w:trPr>
          <w:cantSplit/>
        </w:trPr>
        <w:tc>
          <w:tcPr>
            <w:tcW w:type="dxa" w:w="1520"/>
            <w:shd w:val="clear" w:color="auto" w:fill="FFF4E5"/>
          </w:tcPr>
          <w:p>
            <w:r/>
            <w:r>
              <w:rPr>
                <w:sz w:val="19"/>
              </w:rPr>
              <w:t>12:25 – 1:25</w:t>
            </w:r>
          </w:p>
        </w:tc>
        <w:tc>
          <w:tcPr>
            <w:tcW w:type="dxa" w:w="1000"/>
            <w:shd w:val="clear" w:color="auto" w:fill="FFF4E5"/>
          </w:tcPr>
          <w:p>
            <w:r/>
            <w:r>
              <w:rPr>
                <w:sz w:val="19"/>
              </w:rPr>
              <w:t>60 min</w:t>
            </w:r>
          </w:p>
        </w:tc>
        <w:tc>
          <w:tcPr>
            <w:tcW w:type="dxa" w:w="1728"/>
            <w:shd w:val="clear" w:color="auto" w:fill="FFF4E5"/>
          </w:tcPr>
          <w:p>
            <w:r/>
            <w:r>
              <w:rPr>
                <w:sz w:val="19"/>
              </w:rPr>
              <w:t>Lunch</w:t>
            </w:r>
          </w:p>
        </w:tc>
        <w:tc>
          <w:tcPr>
            <w:tcW w:type="dxa" w:w="1760"/>
            <w:shd w:val="clear" w:color="auto" w:fill="FFF4E5"/>
          </w:tcPr>
          <w:p>
            <w:r/>
            <w:r>
              <w:rPr>
                <w:sz w:val="19"/>
              </w:rPr>
              <w:t>—</w:t>
            </w:r>
          </w:p>
        </w:tc>
        <w:tc>
          <w:tcPr>
            <w:tcW w:type="dxa" w:w="1120"/>
            <w:shd w:val="clear" w:color="auto" w:fill="FFF4E5"/>
          </w:tcPr>
          <w:p>
            <w:r/>
            <w:r>
              <w:rPr>
                <w:sz w:val="19"/>
              </w:rPr>
              <w:t>—</w:t>
            </w:r>
          </w:p>
        </w:tc>
      </w:tr>
      <w:tr>
        <w:trPr>
          <w:cantSplit/>
        </w:trPr>
        <w:tc>
          <w:tcPr>
            <w:tcW w:type="dxa" w:w="1520"/>
            <w:shd w:val="clear" w:color="auto" w:fill="EAF1FF"/>
          </w:tcPr>
          <w:p>
            <w:r/>
            <w:r>
              <w:rPr>
                <w:sz w:val="19"/>
              </w:rPr>
              <w:t>1:25 – 1:50</w:t>
            </w:r>
          </w:p>
        </w:tc>
        <w:tc>
          <w:tcPr>
            <w:tcW w:type="dxa" w:w="1000"/>
            <w:shd w:val="clear" w:color="auto" w:fill="EAF1FF"/>
          </w:tcPr>
          <w:p>
            <w:r/>
            <w:r>
              <w:rPr>
                <w:sz w:val="19"/>
              </w:rPr>
              <w:t>25 min</w:t>
            </w:r>
          </w:p>
        </w:tc>
        <w:tc>
          <w:tcPr>
            <w:tcW w:type="dxa" w:w="1728"/>
            <w:shd w:val="clear" w:color="auto" w:fill="EAF1FF"/>
          </w:tcPr>
          <w:p>
            <w:r/>
            <w:r>
              <w:rPr>
                <w:b/>
                <w:sz w:val="19"/>
              </w:rPr>
              <w:t>Module 2: If/Else and Classify; human in, on and out of the loop; how an approval suspends a running workflow; the Human review node and where the card arrives</w:t>
            </w:r>
          </w:p>
        </w:tc>
        <w:tc>
          <w:tcPr>
            <w:tcW w:type="dxa" w:w="1760"/>
            <w:shd w:val="clear" w:color="auto" w:fill="EAF1FF"/>
          </w:tcPr>
          <w:p>
            <w:r/>
            <w:r>
              <w:rPr>
                <w:sz w:val="19"/>
              </w:rPr>
              <w:t>Lecture &amp; demo</w:t>
            </w:r>
          </w:p>
        </w:tc>
        <w:tc>
          <w:tcPr>
            <w:tcW w:type="dxa" w:w="1120"/>
            <w:shd w:val="clear" w:color="auto" w:fill="EAF1FF"/>
          </w:tcPr>
          <w:p>
            <w:r/>
            <w:r>
              <w:rPr>
                <w:sz w:val="19"/>
              </w:rPr>
              <w:t>50–62</w:t>
            </w:r>
          </w:p>
        </w:tc>
      </w:tr>
      <w:tr>
        <w:trPr>
          <w:cantSplit/>
        </w:trPr>
        <w:tc>
          <w:tcPr>
            <w:tcW w:type="dxa" w:w="1520"/>
            <w:shd w:val="clear" w:color="auto" w:fill="E8F7EE"/>
          </w:tcPr>
          <w:p>
            <w:r/>
            <w:r>
              <w:rPr>
                <w:sz w:val="19"/>
              </w:rPr>
              <w:t>1:50 – 2:25</w:t>
            </w:r>
          </w:p>
        </w:tc>
        <w:tc>
          <w:tcPr>
            <w:tcW w:type="dxa" w:w="1000"/>
            <w:shd w:val="clear" w:color="auto" w:fill="E8F7EE"/>
          </w:tcPr>
          <w:p>
            <w:r/>
            <w:r>
              <w:rPr>
                <w:sz w:val="19"/>
              </w:rPr>
              <w:t>35 min</w:t>
            </w:r>
          </w:p>
        </w:tc>
        <w:tc>
          <w:tcPr>
            <w:tcW w:type="dxa" w:w="1728"/>
            <w:shd w:val="clear" w:color="auto" w:fill="E8F7EE"/>
          </w:tcPr>
          <w:p>
            <w:r/>
            <w:r>
              <w:rPr>
                <w:b/>
                <w:sz w:val="19"/>
              </w:rPr>
              <w:t>Lab 3 — Leave Application Approval — the workflow pauses for a manager; build and test the approved and rejected branches</w:t>
            </w:r>
          </w:p>
        </w:tc>
        <w:tc>
          <w:tcPr>
            <w:tcW w:type="dxa" w:w="1760"/>
            <w:shd w:val="clear" w:color="auto" w:fill="E8F7EE"/>
          </w:tcPr>
          <w:p>
            <w:r/>
            <w:r>
              <w:rPr>
                <w:sz w:val="19"/>
              </w:rPr>
              <w:t>Hands-on lab</w:t>
            </w:r>
          </w:p>
        </w:tc>
        <w:tc>
          <w:tcPr>
            <w:tcW w:type="dxa" w:w="1120"/>
            <w:shd w:val="clear" w:color="auto" w:fill="E8F7EE"/>
          </w:tcPr>
          <w:p>
            <w:r/>
            <w:r>
              <w:rPr>
                <w:sz w:val="19"/>
              </w:rPr>
              <w:t>63</w:t>
            </w:r>
          </w:p>
        </w:tc>
      </w:tr>
      <w:tr>
        <w:trPr>
          <w:cantSplit/>
        </w:trPr>
        <w:tc>
          <w:tcPr>
            <w:tcW w:type="dxa" w:w="1520"/>
            <w:shd w:val="clear" w:color="auto" w:fill="E8F7EE"/>
          </w:tcPr>
          <w:p>
            <w:r/>
            <w:r>
              <w:rPr>
                <w:sz w:val="19"/>
              </w:rPr>
              <w:t>2:25 – 3:10</w:t>
            </w:r>
          </w:p>
        </w:tc>
        <w:tc>
          <w:tcPr>
            <w:tcW w:type="dxa" w:w="1000"/>
            <w:shd w:val="clear" w:color="auto" w:fill="E8F7EE"/>
          </w:tcPr>
          <w:p>
            <w:r/>
            <w:r>
              <w:rPr>
                <w:sz w:val="19"/>
              </w:rPr>
              <w:t>45 min</w:t>
            </w:r>
          </w:p>
        </w:tc>
        <w:tc>
          <w:tcPr>
            <w:tcW w:type="dxa" w:w="1728"/>
            <w:shd w:val="clear" w:color="auto" w:fill="E8F7EE"/>
          </w:tcPr>
          <w:p>
            <w:r/>
            <w:r>
              <w:rPr>
                <w:b/>
                <w:sz w:val="19"/>
              </w:rPr>
              <w:t>Lab 4 — Email Classification — Outlook trigger, a Classify node with five categories, a deterministic handler on every port and a Human review gate in Teams for Priority mail</w:t>
            </w:r>
          </w:p>
        </w:tc>
        <w:tc>
          <w:tcPr>
            <w:tcW w:type="dxa" w:w="1760"/>
            <w:shd w:val="clear" w:color="auto" w:fill="E8F7EE"/>
          </w:tcPr>
          <w:p>
            <w:r/>
            <w:r>
              <w:rPr>
                <w:sz w:val="19"/>
              </w:rPr>
              <w:t>Hands-on lab</w:t>
            </w:r>
          </w:p>
        </w:tc>
        <w:tc>
          <w:tcPr>
            <w:tcW w:type="dxa" w:w="1120"/>
            <w:shd w:val="clear" w:color="auto" w:fill="E8F7EE"/>
          </w:tcPr>
          <w:p>
            <w:r/>
            <w:r>
              <w:rPr>
                <w:sz w:val="19"/>
              </w:rPr>
              <w:t>67</w:t>
            </w:r>
          </w:p>
        </w:tc>
      </w:tr>
      <w:tr>
        <w:trPr>
          <w:cantSplit/>
        </w:trPr>
        <w:tc>
          <w:tcPr>
            <w:tcW w:type="dxa" w:w="1520"/>
            <w:shd w:val="clear" w:color="auto" w:fill="FFF4E5"/>
          </w:tcPr>
          <w:p>
            <w:r/>
            <w:r>
              <w:rPr>
                <w:sz w:val="19"/>
              </w:rPr>
              <w:t>3:10 – 3:25</w:t>
            </w:r>
          </w:p>
        </w:tc>
        <w:tc>
          <w:tcPr>
            <w:tcW w:type="dxa" w:w="1000"/>
            <w:shd w:val="clear" w:color="auto" w:fill="FFF4E5"/>
          </w:tcPr>
          <w:p>
            <w:r/>
            <w:r>
              <w:rPr>
                <w:sz w:val="19"/>
              </w:rPr>
              <w:t>15 min</w:t>
            </w:r>
          </w:p>
        </w:tc>
        <w:tc>
          <w:tcPr>
            <w:tcW w:type="dxa" w:w="1728"/>
            <w:shd w:val="clear" w:color="auto" w:fill="FFF4E5"/>
          </w:tcPr>
          <w:p>
            <w:r/>
            <w:r>
              <w:rPr>
                <w:sz w:val="19"/>
              </w:rPr>
              <w:t>Tea break</w:t>
            </w:r>
          </w:p>
        </w:tc>
        <w:tc>
          <w:tcPr>
            <w:tcW w:type="dxa" w:w="1760"/>
            <w:shd w:val="clear" w:color="auto" w:fill="FFF4E5"/>
          </w:tcPr>
          <w:p>
            <w:r/>
            <w:r>
              <w:rPr>
                <w:sz w:val="19"/>
              </w:rPr>
              <w:t>—</w:t>
            </w:r>
          </w:p>
        </w:tc>
        <w:tc>
          <w:tcPr>
            <w:tcW w:type="dxa" w:w="1120"/>
            <w:shd w:val="clear" w:color="auto" w:fill="FFF4E5"/>
          </w:tcPr>
          <w:p>
            <w:r/>
            <w:r>
              <w:rPr>
                <w:sz w:val="19"/>
              </w:rPr>
              <w:t>—</w:t>
            </w:r>
          </w:p>
        </w:tc>
      </w:tr>
      <w:tr>
        <w:trPr>
          <w:cantSplit/>
        </w:trPr>
        <w:tc>
          <w:tcPr>
            <w:tcW w:type="dxa" w:w="1520"/>
            <w:shd w:val="clear" w:color="auto" w:fill="EAF1FF"/>
          </w:tcPr>
          <w:p>
            <w:r/>
            <w:r>
              <w:rPr>
                <w:sz w:val="19"/>
              </w:rPr>
              <w:t>3:25 – 4:10</w:t>
            </w:r>
          </w:p>
        </w:tc>
        <w:tc>
          <w:tcPr>
            <w:tcW w:type="dxa" w:w="1000"/>
            <w:shd w:val="clear" w:color="auto" w:fill="EAF1FF"/>
          </w:tcPr>
          <w:p>
            <w:r/>
            <w:r>
              <w:rPr>
                <w:sz w:val="19"/>
              </w:rPr>
              <w:t>45 min</w:t>
            </w:r>
          </w:p>
        </w:tc>
        <w:tc>
          <w:tcPr>
            <w:tcW w:type="dxa" w:w="1728"/>
            <w:shd w:val="clear" w:color="auto" w:fill="EAF1FF"/>
          </w:tcPr>
          <w:p>
            <w:r/>
            <w:r>
              <w:rPr>
                <w:b/>
                <w:sz w:val="19"/>
              </w:rPr>
              <w:t>Module 3: workflow versus agent; the new Copilot Studio (model and harness, the new agent designer); agent anatomy — instructions, knowledge, tools, skills, connected agents; what is actually enforced; tools vs skills vs MCP; publishing and channels</w:t>
            </w:r>
          </w:p>
        </w:tc>
        <w:tc>
          <w:tcPr>
            <w:tcW w:type="dxa" w:w="1760"/>
            <w:shd w:val="clear" w:color="auto" w:fill="EAF1FF"/>
          </w:tcPr>
          <w:p>
            <w:r/>
            <w:r>
              <w:rPr>
                <w:sz w:val="19"/>
              </w:rPr>
              <w:t>Lecture &amp; demo</w:t>
            </w:r>
          </w:p>
        </w:tc>
        <w:tc>
          <w:tcPr>
            <w:tcW w:type="dxa" w:w="1120"/>
            <w:shd w:val="clear" w:color="auto" w:fill="EAF1FF"/>
          </w:tcPr>
          <w:p>
            <w:r/>
            <w:r>
              <w:rPr>
                <w:sz w:val="19"/>
              </w:rPr>
              <w:t>71–105</w:t>
            </w:r>
          </w:p>
        </w:tc>
      </w:tr>
      <w:tr>
        <w:trPr>
          <w:cantSplit/>
        </w:trPr>
        <w:tc>
          <w:tcPr>
            <w:tcW w:type="dxa" w:w="1520"/>
            <w:shd w:val="clear" w:color="auto" w:fill="E8F7EE"/>
          </w:tcPr>
          <w:p>
            <w:r/>
            <w:r>
              <w:rPr>
                <w:sz w:val="19"/>
              </w:rPr>
              <w:t>4:10 – 4:45</w:t>
            </w:r>
          </w:p>
        </w:tc>
        <w:tc>
          <w:tcPr>
            <w:tcW w:type="dxa" w:w="1000"/>
            <w:shd w:val="clear" w:color="auto" w:fill="E8F7EE"/>
          </w:tcPr>
          <w:p>
            <w:r/>
            <w:r>
              <w:rPr>
                <w:sz w:val="19"/>
              </w:rPr>
              <w:t>35 min</w:t>
            </w:r>
          </w:p>
        </w:tc>
        <w:tc>
          <w:tcPr>
            <w:tcW w:type="dxa" w:w="1728"/>
            <w:shd w:val="clear" w:color="auto" w:fill="E8F7EE"/>
          </w:tcPr>
          <w:p>
            <w:r/>
            <w:r>
              <w:rPr>
                <w:b/>
                <w:sz w:val="19"/>
              </w:rPr>
              <w:t>Lab 5 — Your First Agent — instructions plus knowledge: build the HR agent, test it in Preview and find out what it refuses</w:t>
            </w:r>
          </w:p>
        </w:tc>
        <w:tc>
          <w:tcPr>
            <w:tcW w:type="dxa" w:w="1760"/>
            <w:shd w:val="clear" w:color="auto" w:fill="E8F7EE"/>
          </w:tcPr>
          <w:p>
            <w:r/>
            <w:r>
              <w:rPr>
                <w:sz w:val="19"/>
              </w:rPr>
              <w:t>Hands-on lab</w:t>
            </w:r>
          </w:p>
        </w:tc>
        <w:tc>
          <w:tcPr>
            <w:tcW w:type="dxa" w:w="1120"/>
            <w:shd w:val="clear" w:color="auto" w:fill="E8F7EE"/>
          </w:tcPr>
          <w:p>
            <w:r/>
            <w:r>
              <w:rPr>
                <w:sz w:val="19"/>
              </w:rPr>
              <w:t>106</w:t>
            </w:r>
          </w:p>
        </w:tc>
      </w:tr>
      <w:tr>
        <w:trPr>
          <w:cantSplit/>
        </w:trPr>
        <w:tc>
          <w:tcPr>
            <w:tcW w:type="dxa" w:w="1520"/>
            <w:shd w:val="clear" w:color="auto" w:fill="E8F7EE"/>
          </w:tcPr>
          <w:p>
            <w:r/>
            <w:r>
              <w:rPr>
                <w:sz w:val="19"/>
              </w:rPr>
              <w:t>4:45 – 5:20</w:t>
            </w:r>
          </w:p>
        </w:tc>
        <w:tc>
          <w:tcPr>
            <w:tcW w:type="dxa" w:w="1000"/>
            <w:shd w:val="clear" w:color="auto" w:fill="E8F7EE"/>
          </w:tcPr>
          <w:p>
            <w:r/>
            <w:r>
              <w:rPr>
                <w:sz w:val="19"/>
              </w:rPr>
              <w:t>35 min</w:t>
            </w:r>
          </w:p>
        </w:tc>
        <w:tc>
          <w:tcPr>
            <w:tcW w:type="dxa" w:w="1728"/>
            <w:shd w:val="clear" w:color="auto" w:fill="E8F7EE"/>
          </w:tcPr>
          <w:p>
            <w:r/>
            <w:r>
              <w:rPr>
                <w:b/>
                <w:sz w:val="19"/>
              </w:rPr>
              <w:t>Lab 6 — Procurement Agent with Tools — a workflow as a tool: the agent fills the inputs, the workflow's logic is enforced, the reference number proves it ran</w:t>
            </w:r>
          </w:p>
        </w:tc>
        <w:tc>
          <w:tcPr>
            <w:tcW w:type="dxa" w:w="1760"/>
            <w:shd w:val="clear" w:color="auto" w:fill="E8F7EE"/>
          </w:tcPr>
          <w:p>
            <w:r/>
            <w:r>
              <w:rPr>
                <w:sz w:val="19"/>
              </w:rPr>
              <w:t>Hands-on lab</w:t>
            </w:r>
          </w:p>
        </w:tc>
        <w:tc>
          <w:tcPr>
            <w:tcW w:type="dxa" w:w="1120"/>
            <w:shd w:val="clear" w:color="auto" w:fill="E8F7EE"/>
          </w:tcPr>
          <w:p>
            <w:r/>
            <w:r>
              <w:rPr>
                <w:sz w:val="19"/>
              </w:rPr>
              <w:t>110</w:t>
            </w:r>
          </w:p>
        </w:tc>
      </w:tr>
      <w:tr>
        <w:trPr>
          <w:cantSplit/>
        </w:trPr>
        <w:tc>
          <w:tcPr>
            <w:tcW w:type="dxa" w:w="1520"/>
            <w:shd w:val="clear" w:color="auto" w:fill="E8F7EE"/>
          </w:tcPr>
          <w:p>
            <w:r/>
            <w:r>
              <w:rPr>
                <w:sz w:val="19"/>
              </w:rPr>
              <w:t>5:20 – 5:50</w:t>
            </w:r>
          </w:p>
        </w:tc>
        <w:tc>
          <w:tcPr>
            <w:tcW w:type="dxa" w:w="1000"/>
            <w:shd w:val="clear" w:color="auto" w:fill="E8F7EE"/>
          </w:tcPr>
          <w:p>
            <w:r/>
            <w:r>
              <w:rPr>
                <w:sz w:val="19"/>
              </w:rPr>
              <w:t>30 min</w:t>
            </w:r>
          </w:p>
        </w:tc>
        <w:tc>
          <w:tcPr>
            <w:tcW w:type="dxa" w:w="1728"/>
            <w:shd w:val="clear" w:color="auto" w:fill="E8F7EE"/>
          </w:tcPr>
          <w:p>
            <w:r/>
            <w:r>
              <w:rPr>
                <w:b/>
                <w:sz w:val="19"/>
              </w:rPr>
              <w:t>Lab 7 — Sales Agent with Knowledge — grounding for the public: 20 SharePoint brochures, and refusing to invent a fee</w:t>
            </w:r>
          </w:p>
        </w:tc>
        <w:tc>
          <w:tcPr>
            <w:tcW w:type="dxa" w:w="1760"/>
            <w:shd w:val="clear" w:color="auto" w:fill="E8F7EE"/>
          </w:tcPr>
          <w:p>
            <w:r/>
            <w:r>
              <w:rPr>
                <w:sz w:val="19"/>
              </w:rPr>
              <w:t>Hands-on lab</w:t>
            </w:r>
          </w:p>
        </w:tc>
        <w:tc>
          <w:tcPr>
            <w:tcW w:type="dxa" w:w="1120"/>
            <w:shd w:val="clear" w:color="auto" w:fill="E8F7EE"/>
          </w:tcPr>
          <w:p>
            <w:r/>
            <w:r>
              <w:rPr>
                <w:sz w:val="19"/>
              </w:rPr>
              <w:t>114</w:t>
            </w:r>
          </w:p>
        </w:tc>
      </w:tr>
      <w:tr>
        <w:trPr>
          <w:cantSplit/>
        </w:trPr>
        <w:tc>
          <w:tcPr>
            <w:tcW w:type="dxa" w:w="1520"/>
            <w:shd w:val="clear" w:color="auto" w:fill="E8F7EE"/>
          </w:tcPr>
          <w:p>
            <w:r/>
            <w:r>
              <w:rPr>
                <w:sz w:val="19"/>
              </w:rPr>
              <w:t>5:50 – 6:20</w:t>
            </w:r>
          </w:p>
        </w:tc>
        <w:tc>
          <w:tcPr>
            <w:tcW w:type="dxa" w:w="1000"/>
            <w:shd w:val="clear" w:color="auto" w:fill="E8F7EE"/>
          </w:tcPr>
          <w:p>
            <w:r/>
            <w:r>
              <w:rPr>
                <w:sz w:val="19"/>
              </w:rPr>
              <w:t>30 min</w:t>
            </w:r>
          </w:p>
        </w:tc>
        <w:tc>
          <w:tcPr>
            <w:tcW w:type="dxa" w:w="1728"/>
            <w:shd w:val="clear" w:color="auto" w:fill="E8F7EE"/>
          </w:tcPr>
          <w:p>
            <w:r/>
            <w:r>
              <w:rPr>
                <w:b/>
                <w:sz w:val="19"/>
              </w:rPr>
              <w:t>Lab 8 — IT Support Agent with Skills — five uploaded skill packages, and the demonstration that a skill is a procedure, not a permission</w:t>
            </w:r>
          </w:p>
        </w:tc>
        <w:tc>
          <w:tcPr>
            <w:tcW w:type="dxa" w:w="1760"/>
            <w:shd w:val="clear" w:color="auto" w:fill="E8F7EE"/>
          </w:tcPr>
          <w:p>
            <w:r/>
            <w:r>
              <w:rPr>
                <w:sz w:val="19"/>
              </w:rPr>
              <w:t>Hands-on lab</w:t>
            </w:r>
          </w:p>
        </w:tc>
        <w:tc>
          <w:tcPr>
            <w:tcW w:type="dxa" w:w="1120"/>
            <w:shd w:val="clear" w:color="auto" w:fill="E8F7EE"/>
          </w:tcPr>
          <w:p>
            <w:r/>
            <w:r>
              <w:rPr>
                <w:sz w:val="19"/>
              </w:rPr>
              <w:t>118</w:t>
            </w:r>
          </w:p>
        </w:tc>
      </w:tr>
      <w:tr>
        <w:trPr>
          <w:cantSplit/>
        </w:trPr>
        <w:tc>
          <w:tcPr>
            <w:tcW w:type="dxa" w:w="1520"/>
            <w:shd w:val="clear" w:color="auto" w:fill="EAF1FF"/>
          </w:tcPr>
          <w:p>
            <w:r/>
            <w:r>
              <w:rPr>
                <w:sz w:val="19"/>
              </w:rPr>
              <w:t>6:20 – 6:30</w:t>
            </w:r>
          </w:p>
        </w:tc>
        <w:tc>
          <w:tcPr>
            <w:tcW w:type="dxa" w:w="1000"/>
            <w:shd w:val="clear" w:color="auto" w:fill="EAF1FF"/>
          </w:tcPr>
          <w:p>
            <w:r/>
            <w:r>
              <w:rPr>
                <w:sz w:val="19"/>
              </w:rPr>
              <w:t>10 min</w:t>
            </w:r>
          </w:p>
        </w:tc>
        <w:tc>
          <w:tcPr>
            <w:tcW w:type="dxa" w:w="1728"/>
            <w:shd w:val="clear" w:color="auto" w:fill="EAF1FF"/>
          </w:tcPr>
          <w:p>
            <w:r/>
            <w:r>
              <w:rPr>
                <w:b/>
                <w:sz w:val="19"/>
              </w:rPr>
              <w:t>Day 1 recap and evidence check</w:t>
            </w:r>
          </w:p>
        </w:tc>
        <w:tc>
          <w:tcPr>
            <w:tcW w:type="dxa" w:w="1760"/>
            <w:shd w:val="clear" w:color="auto" w:fill="EAF1FF"/>
          </w:tcPr>
          <w:p>
            <w:r/>
            <w:r>
              <w:rPr>
                <w:sz w:val="19"/>
              </w:rPr>
              <w:t>Facilitated discussion</w:t>
            </w:r>
          </w:p>
        </w:tc>
        <w:tc>
          <w:tcPr>
            <w:tcW w:type="dxa" w:w="1120"/>
            <w:shd w:val="clear" w:color="auto" w:fill="EAF1FF"/>
          </w:tcPr>
          <w:p>
            <w:r/>
            <w:r>
              <w:rPr>
                <w:sz w:val="19"/>
              </w:rPr>
              <w:t>71–105</w:t>
            </w:r>
          </w:p>
        </w:tc>
      </w:tr>
    </w:tbl>
    <w:p/>
    <w:p>
      <w:pPr>
        <w:pStyle w:val="Heading2"/>
      </w:pPr>
      <w:r>
        <w:t>Day 2 — Multi-Agent, Agent Flows, Human Review, RAG, Publishing &amp; Assessment</w:t>
      </w:r>
    </w:p>
    <w:p>
      <w:r>
        <w:t>Module 3 continued, then Modules 4–5: the multi-agent content team, the workflow/agent boundary crossed both ways, HTTP and the boundary of agency, the human review gate, RAG twice over, and publishing to channels — Labs 9–17, then the assessment.</w:t>
      </w:r>
    </w:p>
    <w:tbl>
      <w:tblPr>
        <w:tblStyle w:val="TableGrid"/>
        <w:tblW w:type="auto" w:w="0"/>
        <w:jc w:val="center"/>
        <w:tblBorders>
          <w:top w:val="single" w:sz="6" w:space="0" w:color="7A8190"/>
          <w:left w:val="single" w:sz="6" w:space="0" w:color="7A8190"/>
          <w:bottom w:val="single" w:sz="6" w:space="0" w:color="7A8190"/>
          <w:right w:val="single" w:sz="6" w:space="0" w:color="7A8190"/>
          <w:insideH w:val="single" w:sz="6" w:space="0" w:color="7A8190"/>
          <w:insideV w:val="single" w:sz="6" w:space="0" w:color="7A8190"/>
        </w:tblBorders>
        <w:tblLook w:firstColumn="1" w:firstRow="1" w:lastColumn="0" w:lastRow="0" w:noHBand="0" w:noVBand="1" w:val="04A0"/>
      </w:tblPr>
      <w:tblGrid>
        <w:gridCol w:w="1728"/>
        <w:gridCol w:w="1728"/>
        <w:gridCol w:w="1728"/>
        <w:gridCol w:w="1728"/>
        <w:gridCol w:w="1728"/>
      </w:tblGrid>
      <w:tr>
        <w:trPr>
          <w:cantSplit/>
        </w:trPr>
        <w:tc>
          <w:tcPr>
            <w:tcW w:type="dxa" w:w="1520"/>
            <w:shd w:val="clear" w:color="auto" w:fill="1F6FEB"/>
          </w:tcPr>
          <w:p>
            <w:r/>
            <w:r>
              <w:rPr>
                <w:b/>
                <w:color w:val="FFFFFF"/>
                <w:sz w:val="19"/>
              </w:rPr>
              <w:t>Time</w:t>
            </w:r>
          </w:p>
        </w:tc>
        <w:tc>
          <w:tcPr>
            <w:tcW w:type="dxa" w:w="1000"/>
            <w:shd w:val="clear" w:color="auto" w:fill="1F6FEB"/>
          </w:tcPr>
          <w:p>
            <w:r/>
            <w:r>
              <w:rPr>
                <w:b/>
                <w:color w:val="FFFFFF"/>
                <w:sz w:val="19"/>
              </w:rPr>
              <w:t>Duration</w:t>
            </w:r>
          </w:p>
        </w:tc>
        <w:tc>
          <w:tcPr>
            <w:tcW w:type="dxa" w:w="1728"/>
            <w:shd w:val="clear" w:color="auto" w:fill="1F6FEB"/>
          </w:tcPr>
          <w:p>
            <w:r/>
            <w:r>
              <w:rPr>
                <w:b/>
                <w:color w:val="FFFFFF"/>
                <w:sz w:val="19"/>
              </w:rPr>
              <w:t>Topic / Activity</w:t>
            </w:r>
          </w:p>
        </w:tc>
        <w:tc>
          <w:tcPr>
            <w:tcW w:type="dxa" w:w="1760"/>
            <w:shd w:val="clear" w:color="auto" w:fill="1F6FEB"/>
          </w:tcPr>
          <w:p>
            <w:r/>
            <w:r>
              <w:rPr>
                <w:b/>
                <w:color w:val="FFFFFF"/>
                <w:sz w:val="19"/>
              </w:rPr>
              <w:t>Method</w:t>
            </w:r>
          </w:p>
        </w:tc>
        <w:tc>
          <w:tcPr>
            <w:tcW w:type="dxa" w:w="1120"/>
            <w:shd w:val="clear" w:color="auto" w:fill="1F6FEB"/>
          </w:tcPr>
          <w:p>
            <w:r/>
            <w:r>
              <w:rPr>
                <w:b/>
                <w:color w:val="FFFFFF"/>
                <w:sz w:val="19"/>
              </w:rPr>
              <w:t>Slides</w:t>
            </w:r>
          </w:p>
        </w:tc>
      </w:tr>
      <w:tr>
        <w:trPr>
          <w:cantSplit/>
        </w:trPr>
        <w:tc>
          <w:tcPr>
            <w:tcW w:type="dxa" w:w="1520"/>
            <w:shd w:val="clear" w:color="auto" w:fill="EAF1FF"/>
          </w:tcPr>
          <w:p>
            <w:r/>
            <w:r>
              <w:rPr>
                <w:sz w:val="19"/>
              </w:rPr>
              <w:t>9:30 – 9:35</w:t>
            </w:r>
          </w:p>
        </w:tc>
        <w:tc>
          <w:tcPr>
            <w:tcW w:type="dxa" w:w="1000"/>
            <w:shd w:val="clear" w:color="auto" w:fill="EAF1FF"/>
          </w:tcPr>
          <w:p>
            <w:r/>
            <w:r>
              <w:rPr>
                <w:sz w:val="19"/>
              </w:rPr>
              <w:t>5 min</w:t>
            </w:r>
          </w:p>
        </w:tc>
        <w:tc>
          <w:tcPr>
            <w:tcW w:type="dxa" w:w="1728"/>
            <w:shd w:val="clear" w:color="auto" w:fill="EAF1FF"/>
          </w:tcPr>
          <w:p>
            <w:r/>
            <w:r>
              <w:rPr>
                <w:b/>
                <w:sz w:val="19"/>
              </w:rPr>
              <w:t>Day 1 recap and Q&amp;A</w:t>
            </w:r>
          </w:p>
        </w:tc>
        <w:tc>
          <w:tcPr>
            <w:tcW w:type="dxa" w:w="1760"/>
            <w:shd w:val="clear" w:color="auto" w:fill="EAF1FF"/>
          </w:tcPr>
          <w:p>
            <w:r/>
            <w:r>
              <w:rPr>
                <w:sz w:val="19"/>
              </w:rPr>
              <w:t>Facilitated discussion</w:t>
            </w:r>
          </w:p>
        </w:tc>
        <w:tc>
          <w:tcPr>
            <w:tcW w:type="dxa" w:w="1120"/>
            <w:shd w:val="clear" w:color="auto" w:fill="EAF1FF"/>
          </w:tcPr>
          <w:p>
            <w:r/>
            <w:r>
              <w:rPr>
                <w:sz w:val="19"/>
              </w:rPr>
              <w:t>71–105</w:t>
            </w:r>
          </w:p>
        </w:tc>
      </w:tr>
      <w:tr>
        <w:trPr>
          <w:cantSplit/>
        </w:trPr>
        <w:tc>
          <w:tcPr>
            <w:tcW w:type="dxa" w:w="1520"/>
            <w:shd w:val="clear" w:color="auto" w:fill="E8F7EE"/>
          </w:tcPr>
          <w:p>
            <w:r/>
            <w:r>
              <w:rPr>
                <w:sz w:val="19"/>
              </w:rPr>
              <w:t>9:35 – 10:10</w:t>
            </w:r>
          </w:p>
        </w:tc>
        <w:tc>
          <w:tcPr>
            <w:tcW w:type="dxa" w:w="1000"/>
            <w:shd w:val="clear" w:color="auto" w:fill="E8F7EE"/>
          </w:tcPr>
          <w:p>
            <w:r/>
            <w:r>
              <w:rPr>
                <w:sz w:val="19"/>
              </w:rPr>
              <w:t>35 min</w:t>
            </w:r>
          </w:p>
        </w:tc>
        <w:tc>
          <w:tcPr>
            <w:tcW w:type="dxa" w:w="1728"/>
            <w:shd w:val="clear" w:color="auto" w:fill="E8F7EE"/>
          </w:tcPr>
          <w:p>
            <w:r/>
            <w:r>
              <w:rPr>
                <w:b/>
                <w:sz w:val="19"/>
              </w:rPr>
              <w:t>Lab 9 — Multi-Agent Content Team — one topic, four connected agents: the manager delegates to Research, Blog and Review, and a person approves at the end</w:t>
            </w:r>
          </w:p>
        </w:tc>
        <w:tc>
          <w:tcPr>
            <w:tcW w:type="dxa" w:w="1760"/>
            <w:shd w:val="clear" w:color="auto" w:fill="E8F7EE"/>
          </w:tcPr>
          <w:p>
            <w:r/>
            <w:r>
              <w:rPr>
                <w:sz w:val="19"/>
              </w:rPr>
              <w:t>Hands-on lab</w:t>
            </w:r>
          </w:p>
        </w:tc>
        <w:tc>
          <w:tcPr>
            <w:tcW w:type="dxa" w:w="1120"/>
            <w:shd w:val="clear" w:color="auto" w:fill="E8F7EE"/>
          </w:tcPr>
          <w:p>
            <w:r/>
            <w:r>
              <w:rPr>
                <w:sz w:val="19"/>
              </w:rPr>
              <w:t>122</w:t>
            </w:r>
          </w:p>
        </w:tc>
      </w:tr>
      <w:tr>
        <w:trPr>
          <w:cantSplit/>
        </w:trPr>
        <w:tc>
          <w:tcPr>
            <w:tcW w:type="dxa" w:w="1520"/>
            <w:shd w:val="clear" w:color="auto" w:fill="E8F7EE"/>
          </w:tcPr>
          <w:p>
            <w:r/>
            <w:r>
              <w:rPr>
                <w:sz w:val="19"/>
              </w:rPr>
              <w:t>10:10 – 10:35</w:t>
            </w:r>
          </w:p>
        </w:tc>
        <w:tc>
          <w:tcPr>
            <w:tcW w:type="dxa" w:w="1000"/>
            <w:shd w:val="clear" w:color="auto" w:fill="E8F7EE"/>
          </w:tcPr>
          <w:p>
            <w:r/>
            <w:r>
              <w:rPr>
                <w:sz w:val="19"/>
              </w:rPr>
              <w:t>25 min</w:t>
            </w:r>
          </w:p>
        </w:tc>
        <w:tc>
          <w:tcPr>
            <w:tcW w:type="dxa" w:w="1728"/>
            <w:shd w:val="clear" w:color="auto" w:fill="E8F7EE"/>
          </w:tcPr>
          <w:p>
            <w:r/>
            <w:r>
              <w:rPr>
                <w:b/>
                <w:sz w:val="19"/>
              </w:rPr>
              <w:t>Lab 10 — Calling Agent from Workflow — the workflow calls the model at a fixed step: Start-node topic input, the draft posted to the Training team's General channel</w:t>
            </w:r>
          </w:p>
        </w:tc>
        <w:tc>
          <w:tcPr>
            <w:tcW w:type="dxa" w:w="1760"/>
            <w:shd w:val="clear" w:color="auto" w:fill="E8F7EE"/>
          </w:tcPr>
          <w:p>
            <w:r/>
            <w:r>
              <w:rPr>
                <w:sz w:val="19"/>
              </w:rPr>
              <w:t>Hands-on lab</w:t>
            </w:r>
          </w:p>
        </w:tc>
        <w:tc>
          <w:tcPr>
            <w:tcW w:type="dxa" w:w="1120"/>
            <w:shd w:val="clear" w:color="auto" w:fill="E8F7EE"/>
          </w:tcPr>
          <w:p>
            <w:r/>
            <w:r>
              <w:rPr>
                <w:sz w:val="19"/>
              </w:rPr>
              <w:t>126</w:t>
            </w:r>
          </w:p>
        </w:tc>
      </w:tr>
      <w:tr>
        <w:trPr>
          <w:cantSplit/>
        </w:trPr>
        <w:tc>
          <w:tcPr>
            <w:tcW w:type="dxa" w:w="1520"/>
            <w:shd w:val="clear" w:color="auto" w:fill="E8F7EE"/>
          </w:tcPr>
          <w:p>
            <w:r/>
            <w:r>
              <w:rPr>
                <w:sz w:val="19"/>
              </w:rPr>
              <w:t>10:35 – 11:00</w:t>
            </w:r>
          </w:p>
        </w:tc>
        <w:tc>
          <w:tcPr>
            <w:tcW w:type="dxa" w:w="1000"/>
            <w:shd w:val="clear" w:color="auto" w:fill="E8F7EE"/>
          </w:tcPr>
          <w:p>
            <w:r/>
            <w:r>
              <w:rPr>
                <w:sz w:val="19"/>
              </w:rPr>
              <w:t>25 min</w:t>
            </w:r>
          </w:p>
        </w:tc>
        <w:tc>
          <w:tcPr>
            <w:tcW w:type="dxa" w:w="1728"/>
            <w:shd w:val="clear" w:color="auto" w:fill="E8F7EE"/>
          </w:tcPr>
          <w:p>
            <w:r/>
            <w:r>
              <w:rPr>
                <w:b/>
                <w:sz w:val="19"/>
              </w:rPr>
              <w:t>Lab 11 — Calling Workflow from Agent — the boundary crossed the other way: the Blog Writer Agent runs the published workflow as its tool</w:t>
            </w:r>
          </w:p>
        </w:tc>
        <w:tc>
          <w:tcPr>
            <w:tcW w:type="dxa" w:w="1760"/>
            <w:shd w:val="clear" w:color="auto" w:fill="E8F7EE"/>
          </w:tcPr>
          <w:p>
            <w:r/>
            <w:r>
              <w:rPr>
                <w:sz w:val="19"/>
              </w:rPr>
              <w:t>Hands-on lab</w:t>
            </w:r>
          </w:p>
        </w:tc>
        <w:tc>
          <w:tcPr>
            <w:tcW w:type="dxa" w:w="1120"/>
            <w:shd w:val="clear" w:color="auto" w:fill="E8F7EE"/>
          </w:tcPr>
          <w:p>
            <w:r/>
            <w:r>
              <w:rPr>
                <w:sz w:val="19"/>
              </w:rPr>
              <w:t>130</w:t>
            </w:r>
          </w:p>
        </w:tc>
      </w:tr>
      <w:tr>
        <w:trPr>
          <w:cantSplit/>
        </w:trPr>
        <w:tc>
          <w:tcPr>
            <w:tcW w:type="dxa" w:w="1520"/>
            <w:shd w:val="clear" w:color="auto" w:fill="FFF4E5"/>
          </w:tcPr>
          <w:p>
            <w:r/>
            <w:r>
              <w:rPr>
                <w:sz w:val="19"/>
              </w:rPr>
              <w:t>11:00 – 11:15</w:t>
            </w:r>
          </w:p>
        </w:tc>
        <w:tc>
          <w:tcPr>
            <w:tcW w:type="dxa" w:w="1000"/>
            <w:shd w:val="clear" w:color="auto" w:fill="FFF4E5"/>
          </w:tcPr>
          <w:p>
            <w:r/>
            <w:r>
              <w:rPr>
                <w:sz w:val="19"/>
              </w:rPr>
              <w:t>15 min</w:t>
            </w:r>
          </w:p>
        </w:tc>
        <w:tc>
          <w:tcPr>
            <w:tcW w:type="dxa" w:w="1728"/>
            <w:shd w:val="clear" w:color="auto" w:fill="FFF4E5"/>
          </w:tcPr>
          <w:p>
            <w:r/>
            <w:r>
              <w:rPr>
                <w:sz w:val="19"/>
              </w:rPr>
              <w:t>Tea break</w:t>
            </w:r>
          </w:p>
        </w:tc>
        <w:tc>
          <w:tcPr>
            <w:tcW w:type="dxa" w:w="1760"/>
            <w:shd w:val="clear" w:color="auto" w:fill="FFF4E5"/>
          </w:tcPr>
          <w:p>
            <w:r/>
            <w:r>
              <w:rPr>
                <w:sz w:val="19"/>
              </w:rPr>
              <w:t>—</w:t>
            </w:r>
          </w:p>
        </w:tc>
        <w:tc>
          <w:tcPr>
            <w:tcW w:type="dxa" w:w="1120"/>
            <w:shd w:val="clear" w:color="auto" w:fill="FFF4E5"/>
          </w:tcPr>
          <w:p>
            <w:r/>
            <w:r>
              <w:rPr>
                <w:sz w:val="19"/>
              </w:rPr>
              <w:t>—</w:t>
            </w:r>
          </w:p>
        </w:tc>
      </w:tr>
      <w:tr>
        <w:trPr>
          <w:cantSplit/>
        </w:trPr>
        <w:tc>
          <w:tcPr>
            <w:tcW w:type="dxa" w:w="1520"/>
            <w:shd w:val="clear" w:color="auto" w:fill="EAF1FF"/>
          </w:tcPr>
          <w:p>
            <w:r/>
            <w:r>
              <w:rPr>
                <w:sz w:val="19"/>
              </w:rPr>
              <w:t>11:15 – 11:40</w:t>
            </w:r>
          </w:p>
        </w:tc>
        <w:tc>
          <w:tcPr>
            <w:tcW w:type="dxa" w:w="1000"/>
            <w:shd w:val="clear" w:color="auto" w:fill="EAF1FF"/>
          </w:tcPr>
          <w:p>
            <w:r/>
            <w:r>
              <w:rPr>
                <w:sz w:val="19"/>
              </w:rPr>
              <w:t>25 min</w:t>
            </w:r>
          </w:p>
        </w:tc>
        <w:tc>
          <w:tcPr>
            <w:tcW w:type="dxa" w:w="1728"/>
            <w:shd w:val="clear" w:color="auto" w:fill="EAF1FF"/>
          </w:tcPr>
          <w:p>
            <w:r/>
            <w:r>
              <w:rPr>
                <w:b/>
                <w:sz w:val="19"/>
              </w:rPr>
              <w:t>Module 4: agent flows and the Agent node, the HTTP trigger (GET vs POST, the URL generated on Save), request body JSON schema, Response node and status codes, structured output, Compose, the boundary of agency</w:t>
            </w:r>
          </w:p>
        </w:tc>
        <w:tc>
          <w:tcPr>
            <w:tcW w:type="dxa" w:w="1760"/>
            <w:shd w:val="clear" w:color="auto" w:fill="EAF1FF"/>
          </w:tcPr>
          <w:p>
            <w:r/>
            <w:r>
              <w:rPr>
                <w:sz w:val="19"/>
              </w:rPr>
              <w:t>Lecture &amp; demo</w:t>
            </w:r>
          </w:p>
        </w:tc>
        <w:tc>
          <w:tcPr>
            <w:tcW w:type="dxa" w:w="1120"/>
            <w:shd w:val="clear" w:color="auto" w:fill="EAF1FF"/>
          </w:tcPr>
          <w:p>
            <w:r/>
            <w:r>
              <w:rPr>
                <w:sz w:val="19"/>
              </w:rPr>
              <w:t>134–149</w:t>
            </w:r>
          </w:p>
        </w:tc>
      </w:tr>
      <w:tr>
        <w:trPr>
          <w:cantSplit/>
        </w:trPr>
        <w:tc>
          <w:tcPr>
            <w:tcW w:type="dxa" w:w="1520"/>
            <w:shd w:val="clear" w:color="auto" w:fill="E8F7EE"/>
          </w:tcPr>
          <w:p>
            <w:r/>
            <w:r>
              <w:rPr>
                <w:sz w:val="19"/>
              </w:rPr>
              <w:t>11:40 – 12:25</w:t>
            </w:r>
          </w:p>
        </w:tc>
        <w:tc>
          <w:tcPr>
            <w:tcW w:type="dxa" w:w="1000"/>
            <w:shd w:val="clear" w:color="auto" w:fill="E8F7EE"/>
          </w:tcPr>
          <w:p>
            <w:r/>
            <w:r>
              <w:rPr>
                <w:sz w:val="19"/>
              </w:rPr>
              <w:t>45 min</w:t>
            </w:r>
          </w:p>
        </w:tc>
        <w:tc>
          <w:tcPr>
            <w:tcW w:type="dxa" w:w="1728"/>
            <w:shd w:val="clear" w:color="auto" w:fill="E8F7EE"/>
          </w:tcPr>
          <w:p>
            <w:r/>
            <w:r>
              <w:rPr>
                <w:b/>
                <w:sz w:val="19"/>
              </w:rPr>
              <w:t>Lab 12 — HTTP and Application Approval Agent — web form to workflow over HTTP: SharePoint duplicate check, six ordered rules, structured output, four decisions</w:t>
            </w:r>
          </w:p>
        </w:tc>
        <w:tc>
          <w:tcPr>
            <w:tcW w:type="dxa" w:w="1760"/>
            <w:shd w:val="clear" w:color="auto" w:fill="E8F7EE"/>
          </w:tcPr>
          <w:p>
            <w:r/>
            <w:r>
              <w:rPr>
                <w:sz w:val="19"/>
              </w:rPr>
              <w:t>Hands-on lab</w:t>
            </w:r>
          </w:p>
        </w:tc>
        <w:tc>
          <w:tcPr>
            <w:tcW w:type="dxa" w:w="1120"/>
            <w:shd w:val="clear" w:color="auto" w:fill="E8F7EE"/>
          </w:tcPr>
          <w:p>
            <w:r/>
            <w:r>
              <w:rPr>
                <w:sz w:val="19"/>
              </w:rPr>
              <w:t>150</w:t>
            </w:r>
          </w:p>
        </w:tc>
      </w:tr>
      <w:tr>
        <w:trPr>
          <w:cantSplit/>
        </w:trPr>
        <w:tc>
          <w:tcPr>
            <w:tcW w:type="dxa" w:w="1520"/>
            <w:shd w:val="clear" w:color="auto" w:fill="FFF4E5"/>
          </w:tcPr>
          <w:p>
            <w:r/>
            <w:r>
              <w:rPr>
                <w:sz w:val="19"/>
              </w:rPr>
              <w:t>12:25 – 1:25</w:t>
            </w:r>
          </w:p>
        </w:tc>
        <w:tc>
          <w:tcPr>
            <w:tcW w:type="dxa" w:w="1000"/>
            <w:shd w:val="clear" w:color="auto" w:fill="FFF4E5"/>
          </w:tcPr>
          <w:p>
            <w:r/>
            <w:r>
              <w:rPr>
                <w:sz w:val="19"/>
              </w:rPr>
              <w:t>60 min</w:t>
            </w:r>
          </w:p>
        </w:tc>
        <w:tc>
          <w:tcPr>
            <w:tcW w:type="dxa" w:w="1728"/>
            <w:shd w:val="clear" w:color="auto" w:fill="FFF4E5"/>
          </w:tcPr>
          <w:p>
            <w:r/>
            <w:r>
              <w:rPr>
                <w:sz w:val="19"/>
              </w:rPr>
              <w:t>Lunch</w:t>
            </w:r>
          </w:p>
        </w:tc>
        <w:tc>
          <w:tcPr>
            <w:tcW w:type="dxa" w:w="1760"/>
            <w:shd w:val="clear" w:color="auto" w:fill="FFF4E5"/>
          </w:tcPr>
          <w:p>
            <w:r/>
            <w:r>
              <w:rPr>
                <w:sz w:val="19"/>
              </w:rPr>
              <w:t>—</w:t>
            </w:r>
          </w:p>
        </w:tc>
        <w:tc>
          <w:tcPr>
            <w:tcW w:type="dxa" w:w="1120"/>
            <w:shd w:val="clear" w:color="auto" w:fill="FFF4E5"/>
          </w:tcPr>
          <w:p>
            <w:r/>
            <w:r>
              <w:rPr>
                <w:sz w:val="19"/>
              </w:rPr>
              <w:t>—</w:t>
            </w:r>
          </w:p>
        </w:tc>
      </w:tr>
      <w:tr>
        <w:trPr>
          <w:cantSplit/>
        </w:trPr>
        <w:tc>
          <w:tcPr>
            <w:tcW w:type="dxa" w:w="1520"/>
            <w:shd w:val="clear" w:color="auto" w:fill="E8F7EE"/>
          </w:tcPr>
          <w:p>
            <w:r/>
            <w:r>
              <w:rPr>
                <w:sz w:val="19"/>
              </w:rPr>
              <w:t>1:25 – 1:55</w:t>
            </w:r>
          </w:p>
        </w:tc>
        <w:tc>
          <w:tcPr>
            <w:tcW w:type="dxa" w:w="1000"/>
            <w:shd w:val="clear" w:color="auto" w:fill="E8F7EE"/>
          </w:tcPr>
          <w:p>
            <w:r/>
            <w:r>
              <w:rPr>
                <w:sz w:val="19"/>
              </w:rPr>
              <w:t>30 min</w:t>
            </w:r>
          </w:p>
        </w:tc>
        <w:tc>
          <w:tcPr>
            <w:tcW w:type="dxa" w:w="1728"/>
            <w:shd w:val="clear" w:color="auto" w:fill="E8F7EE"/>
          </w:tcPr>
          <w:p>
            <w:r/>
            <w:r>
              <w:rPr>
                <w:b/>
                <w:sz w:val="19"/>
              </w:rPr>
              <w:t>Lab 13 — HTTP and Chatbot — the agent alone in public: contact gate, grounded FAQ, the refusal it must never break, and the probes that break it</w:t>
            </w:r>
          </w:p>
        </w:tc>
        <w:tc>
          <w:tcPr>
            <w:tcW w:type="dxa" w:w="1760"/>
            <w:shd w:val="clear" w:color="auto" w:fill="E8F7EE"/>
          </w:tcPr>
          <w:p>
            <w:r/>
            <w:r>
              <w:rPr>
                <w:sz w:val="19"/>
              </w:rPr>
              <w:t>Hands-on lab</w:t>
            </w:r>
          </w:p>
        </w:tc>
        <w:tc>
          <w:tcPr>
            <w:tcW w:type="dxa" w:w="1120"/>
            <w:shd w:val="clear" w:color="auto" w:fill="E8F7EE"/>
          </w:tcPr>
          <w:p>
            <w:r/>
            <w:r>
              <w:rPr>
                <w:sz w:val="19"/>
              </w:rPr>
              <w:t>154</w:t>
            </w:r>
          </w:p>
        </w:tc>
      </w:tr>
      <w:tr>
        <w:trPr>
          <w:cantSplit/>
        </w:trPr>
        <w:tc>
          <w:tcPr>
            <w:tcW w:type="dxa" w:w="1520"/>
            <w:shd w:val="clear" w:color="auto" w:fill="E8F7EE"/>
          </w:tcPr>
          <w:p>
            <w:r/>
            <w:r>
              <w:rPr>
                <w:sz w:val="19"/>
              </w:rPr>
              <w:t>1:55 – 2:30</w:t>
            </w:r>
          </w:p>
        </w:tc>
        <w:tc>
          <w:tcPr>
            <w:tcW w:type="dxa" w:w="1000"/>
            <w:shd w:val="clear" w:color="auto" w:fill="E8F7EE"/>
          </w:tcPr>
          <w:p>
            <w:r/>
            <w:r>
              <w:rPr>
                <w:sz w:val="19"/>
              </w:rPr>
              <w:t>35 min</w:t>
            </w:r>
          </w:p>
        </w:tc>
        <w:tc>
          <w:tcPr>
            <w:tcW w:type="dxa" w:w="1728"/>
            <w:shd w:val="clear" w:color="auto" w:fill="E8F7EE"/>
          </w:tcPr>
          <w:p>
            <w:r/>
            <w:r>
              <w:rPr>
                <w:b/>
                <w:sz w:val="19"/>
              </w:rPr>
              <w:t>Lab 14 — HTTP and Human Review — the Human review gate in Teams and the run that will not proceed</w:t>
            </w:r>
          </w:p>
        </w:tc>
        <w:tc>
          <w:tcPr>
            <w:tcW w:type="dxa" w:w="1760"/>
            <w:shd w:val="clear" w:color="auto" w:fill="E8F7EE"/>
          </w:tcPr>
          <w:p>
            <w:r/>
            <w:r>
              <w:rPr>
                <w:sz w:val="19"/>
              </w:rPr>
              <w:t>Hands-on lab</w:t>
            </w:r>
          </w:p>
        </w:tc>
        <w:tc>
          <w:tcPr>
            <w:tcW w:type="dxa" w:w="1120"/>
            <w:shd w:val="clear" w:color="auto" w:fill="E8F7EE"/>
          </w:tcPr>
          <w:p>
            <w:r/>
            <w:r>
              <w:rPr>
                <w:sz w:val="19"/>
              </w:rPr>
              <w:t>158</w:t>
            </w:r>
          </w:p>
        </w:tc>
      </w:tr>
      <w:tr>
        <w:trPr>
          <w:cantSplit/>
        </w:trPr>
        <w:tc>
          <w:tcPr>
            <w:tcW w:type="dxa" w:w="1520"/>
            <w:shd w:val="clear" w:color="auto" w:fill="EAF1FF"/>
          </w:tcPr>
          <w:p>
            <w:r/>
            <w:r>
              <w:rPr>
                <w:sz w:val="19"/>
              </w:rPr>
              <w:t>2:30 – 2:45</w:t>
            </w:r>
          </w:p>
        </w:tc>
        <w:tc>
          <w:tcPr>
            <w:tcW w:type="dxa" w:w="1000"/>
            <w:shd w:val="clear" w:color="auto" w:fill="EAF1FF"/>
          </w:tcPr>
          <w:p>
            <w:r/>
            <w:r>
              <w:rPr>
                <w:sz w:val="19"/>
              </w:rPr>
              <w:t>15 min</w:t>
            </w:r>
          </w:p>
        </w:tc>
        <w:tc>
          <w:tcPr>
            <w:tcW w:type="dxa" w:w="1728"/>
            <w:shd w:val="clear" w:color="auto" w:fill="EAF1FF"/>
          </w:tcPr>
          <w:p>
            <w:r/>
            <w:r>
              <w:rPr>
                <w:b/>
                <w:sz w:val="19"/>
              </w:rPr>
              <w:t>Module 5: why retrieval rather than a bigger prompt; the RAG pipeline; chunking, embeddings, dimension and top_k; built-in knowledge versus an external vector store</w:t>
            </w:r>
          </w:p>
        </w:tc>
        <w:tc>
          <w:tcPr>
            <w:tcW w:type="dxa" w:w="1760"/>
            <w:shd w:val="clear" w:color="auto" w:fill="EAF1FF"/>
          </w:tcPr>
          <w:p>
            <w:r/>
            <w:r>
              <w:rPr>
                <w:sz w:val="19"/>
              </w:rPr>
              <w:t>Lecture &amp; demo</w:t>
            </w:r>
          </w:p>
        </w:tc>
        <w:tc>
          <w:tcPr>
            <w:tcW w:type="dxa" w:w="1120"/>
            <w:shd w:val="clear" w:color="auto" w:fill="EAF1FF"/>
          </w:tcPr>
          <w:p>
            <w:r/>
            <w:r>
              <w:rPr>
                <w:sz w:val="19"/>
              </w:rPr>
              <w:t>162–169</w:t>
            </w:r>
          </w:p>
        </w:tc>
      </w:tr>
      <w:tr>
        <w:trPr>
          <w:cantSplit/>
        </w:trPr>
        <w:tc>
          <w:tcPr>
            <w:tcW w:type="dxa" w:w="1520"/>
            <w:shd w:val="clear" w:color="auto" w:fill="E8F7EE"/>
          </w:tcPr>
          <w:p>
            <w:r/>
            <w:r>
              <w:rPr>
                <w:sz w:val="19"/>
              </w:rPr>
              <w:t>2:45 – 3:15</w:t>
            </w:r>
          </w:p>
        </w:tc>
        <w:tc>
          <w:tcPr>
            <w:tcW w:type="dxa" w:w="1000"/>
            <w:shd w:val="clear" w:color="auto" w:fill="E8F7EE"/>
          </w:tcPr>
          <w:p>
            <w:r/>
            <w:r>
              <w:rPr>
                <w:sz w:val="19"/>
              </w:rPr>
              <w:t>30 min</w:t>
            </w:r>
          </w:p>
        </w:tc>
        <w:tc>
          <w:tcPr>
            <w:tcW w:type="dxa" w:w="1728"/>
            <w:shd w:val="clear" w:color="auto" w:fill="E8F7EE"/>
          </w:tcPr>
          <w:p>
            <w:r/>
            <w:r>
              <w:rPr>
                <w:b/>
                <w:sz w:val="19"/>
              </w:rPr>
              <w:t>Lab 15 — RAG with Knowledge Base — RAG as a product setting: three nodes, no ingestion, nothing you can inspect</w:t>
            </w:r>
          </w:p>
        </w:tc>
        <w:tc>
          <w:tcPr>
            <w:tcW w:type="dxa" w:w="1760"/>
            <w:shd w:val="clear" w:color="auto" w:fill="E8F7EE"/>
          </w:tcPr>
          <w:p>
            <w:r/>
            <w:r>
              <w:rPr>
                <w:sz w:val="19"/>
              </w:rPr>
              <w:t>Hands-on lab</w:t>
            </w:r>
          </w:p>
        </w:tc>
        <w:tc>
          <w:tcPr>
            <w:tcW w:type="dxa" w:w="1120"/>
            <w:shd w:val="clear" w:color="auto" w:fill="E8F7EE"/>
          </w:tcPr>
          <w:p>
            <w:r/>
            <w:r>
              <w:rPr>
                <w:sz w:val="19"/>
              </w:rPr>
              <w:t>170</w:t>
            </w:r>
          </w:p>
        </w:tc>
      </w:tr>
      <w:tr>
        <w:trPr>
          <w:cantSplit/>
        </w:trPr>
        <w:tc>
          <w:tcPr>
            <w:tcW w:type="dxa" w:w="1520"/>
            <w:shd w:val="clear" w:color="auto" w:fill="E8F7EE"/>
          </w:tcPr>
          <w:p>
            <w:r/>
            <w:r>
              <w:rPr>
                <w:sz w:val="19"/>
              </w:rPr>
              <w:t>3:15 – 3:45</w:t>
            </w:r>
          </w:p>
        </w:tc>
        <w:tc>
          <w:tcPr>
            <w:tcW w:type="dxa" w:w="1000"/>
            <w:shd w:val="clear" w:color="auto" w:fill="E8F7EE"/>
          </w:tcPr>
          <w:p>
            <w:r/>
            <w:r>
              <w:rPr>
                <w:sz w:val="19"/>
              </w:rPr>
              <w:t>30 min</w:t>
            </w:r>
          </w:p>
        </w:tc>
        <w:tc>
          <w:tcPr>
            <w:tcW w:type="dxa" w:w="1728"/>
            <w:shd w:val="clear" w:color="auto" w:fill="E8F7EE"/>
          </w:tcPr>
          <w:p>
            <w:r/>
            <w:r>
              <w:rPr>
                <w:b/>
                <w:sz w:val="19"/>
              </w:rPr>
              <w:t>Lab 16 — RAG with Pinecone — rebuild the same chatbot on Pinecone and compare the levers</w:t>
            </w:r>
          </w:p>
        </w:tc>
        <w:tc>
          <w:tcPr>
            <w:tcW w:type="dxa" w:w="1760"/>
            <w:shd w:val="clear" w:color="auto" w:fill="E8F7EE"/>
          </w:tcPr>
          <w:p>
            <w:r/>
            <w:r>
              <w:rPr>
                <w:sz w:val="19"/>
              </w:rPr>
              <w:t>Hands-on lab</w:t>
            </w:r>
          </w:p>
        </w:tc>
        <w:tc>
          <w:tcPr>
            <w:tcW w:type="dxa" w:w="1120"/>
            <w:shd w:val="clear" w:color="auto" w:fill="E8F7EE"/>
          </w:tcPr>
          <w:p>
            <w:r/>
            <w:r>
              <w:rPr>
                <w:sz w:val="19"/>
              </w:rPr>
              <w:t>174</w:t>
            </w:r>
          </w:p>
        </w:tc>
      </w:tr>
      <w:tr>
        <w:trPr>
          <w:cantSplit/>
        </w:trPr>
        <w:tc>
          <w:tcPr>
            <w:tcW w:type="dxa" w:w="1520"/>
            <w:shd w:val="clear" w:color="auto" w:fill="FFF4E5"/>
          </w:tcPr>
          <w:p>
            <w:r/>
            <w:r>
              <w:rPr>
                <w:sz w:val="19"/>
              </w:rPr>
              <w:t>3:45 – 4:00</w:t>
            </w:r>
          </w:p>
        </w:tc>
        <w:tc>
          <w:tcPr>
            <w:tcW w:type="dxa" w:w="1000"/>
            <w:shd w:val="clear" w:color="auto" w:fill="FFF4E5"/>
          </w:tcPr>
          <w:p>
            <w:r/>
            <w:r>
              <w:rPr>
                <w:sz w:val="19"/>
              </w:rPr>
              <w:t>15 min</w:t>
            </w:r>
          </w:p>
        </w:tc>
        <w:tc>
          <w:tcPr>
            <w:tcW w:type="dxa" w:w="1728"/>
            <w:shd w:val="clear" w:color="auto" w:fill="FFF4E5"/>
          </w:tcPr>
          <w:p>
            <w:r/>
            <w:r>
              <w:rPr>
                <w:sz w:val="19"/>
              </w:rPr>
              <w:t>Tea break</w:t>
            </w:r>
          </w:p>
        </w:tc>
        <w:tc>
          <w:tcPr>
            <w:tcW w:type="dxa" w:w="1760"/>
            <w:shd w:val="clear" w:color="auto" w:fill="FFF4E5"/>
          </w:tcPr>
          <w:p>
            <w:r/>
            <w:r>
              <w:rPr>
                <w:sz w:val="19"/>
              </w:rPr>
              <w:t>—</w:t>
            </w:r>
          </w:p>
        </w:tc>
        <w:tc>
          <w:tcPr>
            <w:tcW w:type="dxa" w:w="1120"/>
            <w:shd w:val="clear" w:color="auto" w:fill="FFF4E5"/>
          </w:tcPr>
          <w:p>
            <w:r/>
            <w:r>
              <w:rPr>
                <w:sz w:val="19"/>
              </w:rPr>
              <w:t>—</w:t>
            </w:r>
          </w:p>
        </w:tc>
      </w:tr>
      <w:tr>
        <w:trPr>
          <w:cantSplit/>
        </w:trPr>
        <w:tc>
          <w:tcPr>
            <w:tcW w:type="dxa" w:w="1520"/>
            <w:shd w:val="clear" w:color="auto" w:fill="E8F7EE"/>
          </w:tcPr>
          <w:p>
            <w:r/>
            <w:r>
              <w:rPr>
                <w:sz w:val="19"/>
              </w:rPr>
              <w:t>4:00 – 4:25</w:t>
            </w:r>
          </w:p>
        </w:tc>
        <w:tc>
          <w:tcPr>
            <w:tcW w:type="dxa" w:w="1000"/>
            <w:shd w:val="clear" w:color="auto" w:fill="E8F7EE"/>
          </w:tcPr>
          <w:p>
            <w:r/>
            <w:r>
              <w:rPr>
                <w:sz w:val="19"/>
              </w:rPr>
              <w:t>25 min</w:t>
            </w:r>
          </w:p>
        </w:tc>
        <w:tc>
          <w:tcPr>
            <w:tcW w:type="dxa" w:w="1728"/>
            <w:shd w:val="clear" w:color="auto" w:fill="E8F7EE"/>
          </w:tcPr>
          <w:p>
            <w:r/>
            <w:r>
              <w:rPr>
                <w:b/>
                <w:sz w:val="19"/>
              </w:rPr>
              <w:t>Lab 17 — Publish to Teams, Microsoft 365 Copilot and the Web — Publish, then Channels +: the HR agent to Microsoft Teams and Microsoft 365 Copilot, the Sales agent to a website — and why a channel is a door, not a brain</w:t>
            </w:r>
          </w:p>
        </w:tc>
        <w:tc>
          <w:tcPr>
            <w:tcW w:type="dxa" w:w="1760"/>
            <w:shd w:val="clear" w:color="auto" w:fill="E8F7EE"/>
          </w:tcPr>
          <w:p>
            <w:r/>
            <w:r>
              <w:rPr>
                <w:sz w:val="19"/>
              </w:rPr>
              <w:t>Hands-on lab</w:t>
            </w:r>
          </w:p>
        </w:tc>
        <w:tc>
          <w:tcPr>
            <w:tcW w:type="dxa" w:w="1120"/>
            <w:shd w:val="clear" w:color="auto" w:fill="E8F7EE"/>
          </w:tcPr>
          <w:p>
            <w:r/>
            <w:r>
              <w:rPr>
                <w:sz w:val="19"/>
              </w:rPr>
              <w:t>178</w:t>
            </w:r>
          </w:p>
        </w:tc>
      </w:tr>
      <w:tr>
        <w:trPr>
          <w:cantSplit/>
        </w:trPr>
        <w:tc>
          <w:tcPr>
            <w:tcW w:type="dxa" w:w="1520"/>
            <w:shd w:val="clear" w:color="auto" w:fill="EAF1FF"/>
          </w:tcPr>
          <w:p>
            <w:r/>
            <w:r>
              <w:rPr>
                <w:sz w:val="19"/>
              </w:rPr>
              <w:t>4:25 – 4:30</w:t>
            </w:r>
          </w:p>
        </w:tc>
        <w:tc>
          <w:tcPr>
            <w:tcW w:type="dxa" w:w="1000"/>
            <w:shd w:val="clear" w:color="auto" w:fill="EAF1FF"/>
          </w:tcPr>
          <w:p>
            <w:r/>
            <w:r>
              <w:rPr>
                <w:sz w:val="19"/>
              </w:rPr>
              <w:t>5 min</w:t>
            </w:r>
          </w:p>
        </w:tc>
        <w:tc>
          <w:tcPr>
            <w:tcW w:type="dxa" w:w="1728"/>
            <w:shd w:val="clear" w:color="auto" w:fill="EAF1FF"/>
          </w:tcPr>
          <w:p>
            <w:r/>
            <w:r>
              <w:rPr>
                <w:b/>
                <w:sz w:val="19"/>
              </w:rPr>
              <w:t>Course synthesis and briefing before the assessment</w:t>
            </w:r>
          </w:p>
        </w:tc>
        <w:tc>
          <w:tcPr>
            <w:tcW w:type="dxa" w:w="1760"/>
            <w:shd w:val="clear" w:color="auto" w:fill="EAF1FF"/>
          </w:tcPr>
          <w:p>
            <w:r/>
            <w:r>
              <w:rPr>
                <w:sz w:val="19"/>
              </w:rPr>
              <w:t>Facilitated discussion</w:t>
            </w:r>
          </w:p>
        </w:tc>
        <w:tc>
          <w:tcPr>
            <w:tcW w:type="dxa" w:w="1120"/>
            <w:shd w:val="clear" w:color="auto" w:fill="EAF1FF"/>
          </w:tcPr>
          <w:p>
            <w:r/>
            <w:r>
              <w:rPr>
                <w:sz w:val="19"/>
              </w:rPr>
              <w:t>182–187</w:t>
            </w:r>
          </w:p>
        </w:tc>
      </w:tr>
      <w:tr>
        <w:trPr>
          <w:cantSplit/>
        </w:trPr>
        <w:tc>
          <w:tcPr>
            <w:tcW w:type="dxa" w:w="1520"/>
            <w:shd w:val="clear" w:color="auto" w:fill="FDE8E8"/>
          </w:tcPr>
          <w:p>
            <w:r/>
            <w:r>
              <w:rPr>
                <w:sz w:val="19"/>
              </w:rPr>
              <w:t>4:30 – 5:30</w:t>
            </w:r>
          </w:p>
        </w:tc>
        <w:tc>
          <w:tcPr>
            <w:tcW w:type="dxa" w:w="1000"/>
            <w:shd w:val="clear" w:color="auto" w:fill="FDE8E8"/>
          </w:tcPr>
          <w:p>
            <w:r/>
            <w:r>
              <w:rPr>
                <w:sz w:val="19"/>
              </w:rPr>
              <w:t>60 min</w:t>
            </w:r>
          </w:p>
        </w:tc>
        <w:tc>
          <w:tcPr>
            <w:tcW w:type="dxa" w:w="1728"/>
            <w:shd w:val="clear" w:color="auto" w:fill="FDE8E8"/>
          </w:tcPr>
          <w:p>
            <w:r/>
            <w:r>
              <w:rPr>
                <w:b/>
                <w:sz w:val="19"/>
              </w:rPr>
              <w:t>Written Assessment (WA / SAQ) — 1 hour, open book</w:t>
            </w:r>
          </w:p>
        </w:tc>
        <w:tc>
          <w:tcPr>
            <w:tcW w:type="dxa" w:w="1760"/>
            <w:shd w:val="clear" w:color="auto" w:fill="FDE8E8"/>
          </w:tcPr>
          <w:p>
            <w:r/>
            <w:r>
              <w:rPr>
                <w:sz w:val="19"/>
              </w:rPr>
              <w:t>Individual assessment</w:t>
            </w:r>
          </w:p>
        </w:tc>
        <w:tc>
          <w:tcPr>
            <w:tcW w:type="dxa" w:w="1120"/>
            <w:shd w:val="clear" w:color="auto" w:fill="FDE8E8"/>
          </w:tcPr>
          <w:p>
            <w:r/>
            <w:r>
              <w:rPr>
                <w:sz w:val="19"/>
              </w:rPr>
              <w:t>188–193</w:t>
            </w:r>
          </w:p>
        </w:tc>
      </w:tr>
      <w:tr>
        <w:trPr>
          <w:cantSplit/>
        </w:trPr>
        <w:tc>
          <w:tcPr>
            <w:tcW w:type="dxa" w:w="1520"/>
            <w:shd w:val="clear" w:color="auto" w:fill="FDE8E8"/>
          </w:tcPr>
          <w:p>
            <w:r/>
            <w:r>
              <w:rPr>
                <w:sz w:val="19"/>
              </w:rPr>
              <w:t>5:30 – 6:30</w:t>
            </w:r>
          </w:p>
        </w:tc>
        <w:tc>
          <w:tcPr>
            <w:tcW w:type="dxa" w:w="1000"/>
            <w:shd w:val="clear" w:color="auto" w:fill="FDE8E8"/>
          </w:tcPr>
          <w:p>
            <w:r/>
            <w:r>
              <w:rPr>
                <w:sz w:val="19"/>
              </w:rPr>
              <w:t>60 min</w:t>
            </w:r>
          </w:p>
        </w:tc>
        <w:tc>
          <w:tcPr>
            <w:tcW w:type="dxa" w:w="1728"/>
            <w:shd w:val="clear" w:color="auto" w:fill="FDE8E8"/>
          </w:tcPr>
          <w:p>
            <w:r/>
            <w:r>
              <w:rPr>
                <w:b/>
                <w:sz w:val="19"/>
              </w:rPr>
              <w:t>Practical Performance (PP) Assessment — 1 hour, open book</w:t>
            </w:r>
          </w:p>
        </w:tc>
        <w:tc>
          <w:tcPr>
            <w:tcW w:type="dxa" w:w="1760"/>
            <w:shd w:val="clear" w:color="auto" w:fill="FDE8E8"/>
          </w:tcPr>
          <w:p>
            <w:r/>
            <w:r>
              <w:rPr>
                <w:sz w:val="19"/>
              </w:rPr>
              <w:t>Individual assessment</w:t>
            </w:r>
          </w:p>
        </w:tc>
        <w:tc>
          <w:tcPr>
            <w:tcW w:type="dxa" w:w="1120"/>
            <w:shd w:val="clear" w:color="auto" w:fill="FDE8E8"/>
          </w:tcPr>
          <w:p>
            <w:r/>
            <w:r>
              <w:rPr>
                <w:sz w:val="19"/>
              </w:rPr>
              <w:t>188–193</w:t>
            </w:r>
          </w:p>
        </w:tc>
      </w:tr>
    </w:tbl>
    <w:p/>
    <w:p>
      <w:pPr>
        <w:pStyle w:val="Heading1"/>
      </w:pPr>
      <w:r>
        <w:t>Lab Alignment Reference</w:t>
      </w:r>
    </w:p>
    <w:p>
      <w:r>
        <w:t>This reference repeats the canonical lab title, duration and slide range used in the facilitator deck, Learner Guide and hands-on lab files. Use it to confirm that the correct activity is being delivered at each point in the schedule.</w:t>
      </w:r>
    </w:p>
    <w:p>
      <w:pPr>
        <w:pStyle w:val="Heading2"/>
      </w:pPr>
      <w:r>
        <w:t>Day 1 Labs</w:t>
      </w:r>
    </w:p>
    <w:p>
      <w:pPr>
        <w:pStyle w:val="Heading3"/>
      </w:pPr>
      <w:r>
        <w:t>Lab 0 — Environment Setup · Slides 38</w:t>
      </w:r>
    </w:p>
    <w:p>
      <w:r>
        <w:t>Duration: 20 minutes. Follow the matching detailed, step-by-step lab and its shared workflow visual in the Learner Guide.</w:t>
      </w:r>
    </w:p>
    <w:p>
      <w:pPr>
        <w:pStyle w:val="Heading3"/>
      </w:pPr>
      <w:r>
        <w:t>Lab 1 — Trigger and Actions · Slides 42</w:t>
      </w:r>
    </w:p>
    <w:p>
      <w:r>
        <w:t>Duration: 30 minutes. Follow the matching detailed, step-by-step lab and its shared workflow visual in the Learner Guide.</w:t>
      </w:r>
    </w:p>
    <w:p>
      <w:pPr>
        <w:pStyle w:val="Heading3"/>
      </w:pPr>
      <w:r>
        <w:t>Lab 2 — Log to Excel · Slides 46</w:t>
      </w:r>
    </w:p>
    <w:p>
      <w:r>
        <w:t>Duration: 30 minutes. Follow the matching detailed, step-by-step lab and its shared workflow visual in the Learner Guide.</w:t>
      </w:r>
    </w:p>
    <w:p>
      <w:pPr>
        <w:pStyle w:val="Heading3"/>
      </w:pPr>
      <w:r>
        <w:t>Lab 3 — Leave Application Approval · Slides 63</w:t>
      </w:r>
    </w:p>
    <w:p>
      <w:r>
        <w:t>Duration: 35 minutes. Follow the matching detailed, step-by-step lab and its shared workflow visual in the Learner Guide.</w:t>
      </w:r>
    </w:p>
    <w:p>
      <w:pPr>
        <w:pStyle w:val="Heading3"/>
      </w:pPr>
      <w:r>
        <w:t>Lab 4 — Email Classification · Slides 67</w:t>
      </w:r>
    </w:p>
    <w:p>
      <w:r>
        <w:t>Duration: 45 minutes. Follow the matching detailed, step-by-step lab and its shared workflow visual in the Learner Guide.</w:t>
      </w:r>
    </w:p>
    <w:p>
      <w:pPr>
        <w:pStyle w:val="Heading3"/>
      </w:pPr>
      <w:r>
        <w:t>Lab 5 — Your First Agent · Slides 106</w:t>
      </w:r>
    </w:p>
    <w:p>
      <w:r>
        <w:t>Duration: 35 minutes. Follow the matching detailed, step-by-step lab and its shared workflow visual in the Learner Guide.</w:t>
      </w:r>
    </w:p>
    <w:p>
      <w:pPr>
        <w:pStyle w:val="Heading3"/>
      </w:pPr>
      <w:r>
        <w:t>Lab 6 — Procurement Agent with Tools · Slides 110</w:t>
      </w:r>
    </w:p>
    <w:p>
      <w:r>
        <w:t>Duration: 35 minutes. Follow the matching detailed, step-by-step lab and its shared workflow visual in the Learner Guide.</w:t>
      </w:r>
    </w:p>
    <w:p>
      <w:pPr>
        <w:pStyle w:val="Heading3"/>
      </w:pPr>
      <w:r>
        <w:t>Lab 7 — Sales Agent with Knowledge · Slides 114</w:t>
      </w:r>
    </w:p>
    <w:p>
      <w:r>
        <w:t>Duration: 30 minutes. Follow the matching detailed, step-by-step lab and its shared workflow visual in the Learner Guide.</w:t>
      </w:r>
    </w:p>
    <w:p>
      <w:pPr>
        <w:pStyle w:val="Heading3"/>
      </w:pPr>
      <w:r>
        <w:t>Lab 8 — IT Support Agent with Skills · Slides 118</w:t>
      </w:r>
    </w:p>
    <w:p>
      <w:r>
        <w:t>Duration: 30 minutes. Follow the matching detailed, step-by-step lab and its shared workflow visual in the Learner Guide.</w:t>
      </w:r>
    </w:p>
    <w:p>
      <w:pPr>
        <w:pStyle w:val="Heading2"/>
      </w:pPr>
      <w:r>
        <w:t>Day 2 Labs</w:t>
      </w:r>
    </w:p>
    <w:p>
      <w:pPr>
        <w:pStyle w:val="Heading3"/>
      </w:pPr>
      <w:r>
        <w:t>Lab 9 — Multi-Agent Content Team · Slides 122</w:t>
      </w:r>
    </w:p>
    <w:p>
      <w:r>
        <w:t>Duration: 35 minutes. Follow the matching detailed, step-by-step lab and its shared workflow visual in the Learner Guide.</w:t>
      </w:r>
    </w:p>
    <w:p>
      <w:pPr>
        <w:pStyle w:val="Heading3"/>
      </w:pPr>
      <w:r>
        <w:t>Lab 10 — Calling Agent from Workflow · Slides 126</w:t>
      </w:r>
    </w:p>
    <w:p>
      <w:r>
        <w:t>Duration: 25 minutes. Follow the matching detailed, step-by-step lab and its shared workflow visual in the Learner Guide.</w:t>
      </w:r>
    </w:p>
    <w:p>
      <w:pPr>
        <w:pStyle w:val="Heading3"/>
      </w:pPr>
      <w:r>
        <w:t>Lab 11 — Calling Workflow from Agent · Slides 130</w:t>
      </w:r>
    </w:p>
    <w:p>
      <w:r>
        <w:t>Duration: 25 minutes. Follow the matching detailed, step-by-step lab and its shared workflow visual in the Learner Guide.</w:t>
      </w:r>
    </w:p>
    <w:p>
      <w:pPr>
        <w:pStyle w:val="Heading3"/>
      </w:pPr>
      <w:r>
        <w:t>Lab 12 — HTTP and Application Approval Agent · Slides 150</w:t>
      </w:r>
    </w:p>
    <w:p>
      <w:r>
        <w:t>Duration: 45 minutes. Follow the matching detailed, step-by-step lab and its shared workflow visual in the Learner Guide.</w:t>
      </w:r>
    </w:p>
    <w:p>
      <w:pPr>
        <w:pStyle w:val="Heading3"/>
      </w:pPr>
      <w:r>
        <w:t>Lab 13 — HTTP and Chatbot · Slides 154</w:t>
      </w:r>
    </w:p>
    <w:p>
      <w:r>
        <w:t>Duration: 30 minutes. Follow the matching detailed, step-by-step lab and its shared workflow visual in the Learner Guide.</w:t>
      </w:r>
    </w:p>
    <w:p>
      <w:pPr>
        <w:pStyle w:val="Heading3"/>
      </w:pPr>
      <w:r>
        <w:t>Lab 14 — HTTP and Human Review · Slides 158</w:t>
      </w:r>
    </w:p>
    <w:p>
      <w:r>
        <w:t>Duration: 35 minutes. Follow the matching detailed, step-by-step lab and its shared workflow visual in the Learner Guide.</w:t>
      </w:r>
    </w:p>
    <w:p>
      <w:pPr>
        <w:pStyle w:val="Heading3"/>
      </w:pPr>
      <w:r>
        <w:t>Lab 15 — RAG with Knowledge Base · Slides 170</w:t>
      </w:r>
    </w:p>
    <w:p>
      <w:r>
        <w:t>Duration: 30 minutes. Follow the matching detailed, step-by-step lab and its shared workflow visual in the Learner Guide.</w:t>
      </w:r>
    </w:p>
    <w:p>
      <w:pPr>
        <w:pStyle w:val="Heading3"/>
      </w:pPr>
      <w:r>
        <w:t>Lab 16 — RAG with Pinecone · Slides 174</w:t>
      </w:r>
    </w:p>
    <w:p>
      <w:r>
        <w:t>Duration: 30 minutes. Follow the matching detailed, step-by-step lab and its shared workflow visual in the Learner Guide.</w:t>
      </w:r>
    </w:p>
    <w:p>
      <w:pPr>
        <w:pStyle w:val="Heading3"/>
      </w:pPr>
      <w:r>
        <w:t>Lab 17 — Publish to Teams, Microsoft 365 Copilot and the Web · Slides 178</w:t>
      </w:r>
    </w:p>
    <w:p>
      <w:r>
        <w:t>Duration: 25 minutes. Follow the matching detailed, step-by-step lab and its shared workflow visual in the Learner Guide.</w:t>
      </w:r>
    </w:p>
    <w:p>
      <w:pPr>
        <w:pStyle w:val="Heading1"/>
      </w:pPr>
      <w:r>
        <w:t>Tools &amp; Resources</w:t>
      </w:r>
    </w:p>
    <w:tbl>
      <w:tblPr>
        <w:tblStyle w:val="TableGrid"/>
        <w:tblW w:type="auto" w:w="0"/>
        <w:jc w:val="center"/>
        <w:tblBorders>
          <w:top w:val="single" w:sz="6" w:space="0" w:color="7A8190"/>
          <w:left w:val="single" w:sz="6" w:space="0" w:color="7A8190"/>
          <w:bottom w:val="single" w:sz="6" w:space="0" w:color="7A8190"/>
          <w:right w:val="single" w:sz="6" w:space="0" w:color="7A8190"/>
          <w:insideH w:val="single" w:sz="6" w:space="0" w:color="7A8190"/>
          <w:insideV w:val="single" w:sz="6" w:space="0" w:color="7A8190"/>
        </w:tblBorders>
        <w:tblLook w:firstColumn="1" w:firstRow="1" w:lastColumn="0" w:lastRow="0" w:noHBand="0" w:noVBand="1" w:val="04A0"/>
      </w:tblPr>
      <w:tblGrid>
        <w:gridCol w:w="4320"/>
        <w:gridCol w:w="4320"/>
      </w:tblGrid>
      <w:tr>
        <w:tc>
          <w:tcPr>
            <w:tcW w:type="dxa" w:w="4320"/>
            <w:shd w:val="clear" w:color="auto" w:fill="EAF1FF"/>
          </w:tcPr>
          <w:p>
            <w:r/>
            <w:r>
              <w:rPr>
                <w:b/>
                <w:sz w:val="20"/>
              </w:rPr>
              <w:t>Microsoft Copilot Studio (new experience)</w:t>
            </w:r>
          </w:p>
        </w:tc>
        <w:tc>
          <w:tcPr>
            <w:tcW w:type="dxa" w:w="4320"/>
          </w:tcPr>
          <w:p>
            <w:r/>
            <w:r>
              <w:rPr>
                <w:sz w:val="20"/>
              </w:rPr>
              <w:t>copilotstudio.microsoft.com — the one designer for every lab: build and run workflows, build and publish agents</w:t>
            </w:r>
          </w:p>
        </w:tc>
      </w:tr>
      <w:tr>
        <w:tc>
          <w:tcPr>
            <w:tcW w:type="dxa" w:w="4320"/>
            <w:shd w:val="clear" w:color="auto" w:fill="EAF1FF"/>
          </w:tcPr>
          <w:p>
            <w:r/>
            <w:r>
              <w:rPr>
                <w:b/>
                <w:sz w:val="20"/>
              </w:rPr>
              <w:t>Microsoft Power Automate</w:t>
            </w:r>
          </w:p>
        </w:tc>
        <w:tc>
          <w:tcPr>
            <w:tcW w:type="dxa" w:w="4320"/>
          </w:tcPr>
          <w:p>
            <w:r/>
            <w:r>
              <w:rPr>
                <w:sz w:val="20"/>
              </w:rPr>
              <w:t>make.powerautomate.com — the connector engine underneath the workflows; never opened directly in this course</w:t>
            </w:r>
          </w:p>
        </w:tc>
      </w:tr>
      <w:tr>
        <w:tc>
          <w:tcPr>
            <w:tcW w:type="dxa" w:w="4320"/>
            <w:shd w:val="clear" w:color="auto" w:fill="EAF1FF"/>
          </w:tcPr>
          <w:p>
            <w:r/>
            <w:r>
              <w:rPr>
                <w:b/>
                <w:sz w:val="20"/>
              </w:rPr>
              <w:t>Power Platform admin center</w:t>
            </w:r>
          </w:p>
        </w:tc>
        <w:tc>
          <w:tcPr>
            <w:tcW w:type="dxa" w:w="4320"/>
          </w:tcPr>
          <w:p>
            <w:r/>
            <w:r>
              <w:rPr>
                <w:sz w:val="20"/>
              </w:rPr>
              <w:t>admin.powerplatform.microsoft.com — provision/reset one Training Class Sandbox per cohort (Dataverse + Copilot Credits)</w:t>
            </w:r>
          </w:p>
        </w:tc>
      </w:tr>
      <w:tr>
        <w:tc>
          <w:tcPr>
            <w:tcW w:type="dxa" w:w="4320"/>
            <w:shd w:val="clear" w:color="auto" w:fill="EAF1FF"/>
          </w:tcPr>
          <w:p>
            <w:r/>
            <w:r>
              <w:rPr>
                <w:b/>
                <w:sz w:val="20"/>
              </w:rPr>
              <w:t>Microsoft 365</w:t>
            </w:r>
          </w:p>
        </w:tc>
        <w:tc>
          <w:tcPr>
            <w:tcW w:type="dxa" w:w="4320"/>
          </w:tcPr>
          <w:p>
            <w:r/>
            <w:r>
              <w:rPr>
                <w:sz w:val="20"/>
              </w:rPr>
              <w:t>Outlook, Excel (OneDrive), Microsoft Forms, SharePoint and Microsoft Teams</w:t>
            </w:r>
          </w:p>
        </w:tc>
      </w:tr>
      <w:tr>
        <w:tc>
          <w:tcPr>
            <w:tcW w:type="dxa" w:w="4320"/>
            <w:shd w:val="clear" w:color="auto" w:fill="EAF1FF"/>
          </w:tcPr>
          <w:p>
            <w:r/>
            <w:r>
              <w:rPr>
                <w:b/>
                <w:sz w:val="20"/>
              </w:rPr>
              <w:t>Pinecone</w:t>
            </w:r>
          </w:p>
        </w:tc>
        <w:tc>
          <w:tcPr>
            <w:tcW w:type="dxa" w:w="4320"/>
          </w:tcPr>
          <w:p>
            <w:r/>
            <w:r>
              <w:rPr>
                <w:sz w:val="20"/>
              </w:rPr>
              <w:t>pinecone.io — free-tier vector database, required for Lab 16 only</w:t>
            </w:r>
          </w:p>
        </w:tc>
      </w:tr>
      <w:tr>
        <w:tc>
          <w:tcPr>
            <w:tcW w:type="dxa" w:w="4320"/>
            <w:shd w:val="clear" w:color="auto" w:fill="EAF1FF"/>
          </w:tcPr>
          <w:p>
            <w:r/>
            <w:r>
              <w:rPr>
                <w:b/>
                <w:sz w:val="20"/>
              </w:rPr>
              <w:t>Learner Guide</w:t>
            </w:r>
          </w:p>
        </w:tc>
        <w:tc>
          <w:tcPr>
            <w:tcW w:type="dxa" w:w="4320"/>
          </w:tcPr>
          <w:p>
            <w:r/>
            <w:r>
              <w:rPr>
                <w:sz w:val="20"/>
              </w:rPr>
              <w:t>Full step-by-step guide for every lab (LMS + course GitHub repository)</w:t>
            </w:r>
          </w:p>
        </w:tc>
      </w:tr>
      <w:tr>
        <w:tc>
          <w:tcPr>
            <w:tcW w:type="dxa" w:w="4320"/>
            <w:shd w:val="clear" w:color="auto" w:fill="EAF1FF"/>
          </w:tcPr>
          <w:p>
            <w:r/>
            <w:r>
              <w:rPr>
                <w:b/>
                <w:sz w:val="20"/>
              </w:rPr>
              <w:t>LMS</w:t>
            </w:r>
          </w:p>
        </w:tc>
        <w:tc>
          <w:tcPr>
            <w:tcW w:type="dxa" w:w="4320"/>
          </w:tcPr>
          <w:p>
            <w:r/>
            <w:r>
              <w:rPr>
                <w:sz w:val="20"/>
              </w:rPr>
              <w:t>https://lms-tms.tertiaryinfotech.com/ — courseware download, TRAQOM, assessment submission</w:t>
            </w:r>
          </w:p>
        </w:tc>
      </w:tr>
    </w:tbl>
    <w:p>
      <w:pPr>
        <w:pStyle w:val="Heading1"/>
      </w:pPr>
      <w:r>
        <w:t>Assessment</w:t>
      </w:r>
    </w:p>
    <w:p>
      <w:r>
        <w:t>The summative WSQ assessment is taken at the end of Day 2 and is open book (slides, Learner Guide and approved materials only):</w:t>
      </w:r>
    </w:p>
    <w:p>
      <w:pPr>
        <w:pStyle w:val="ListBullet"/>
      </w:pPr>
      <w:r>
        <w:t>Written Assessment (WA / SAQ) — 1 hour. Open-ended short-answer questions testing the knowledge from Modules 1–5.</w:t>
      </w:r>
    </w:p>
    <w:p>
      <w:pPr>
        <w:pStyle w:val="ListBullet"/>
      </w:pPr>
      <w:r>
        <w:t>Practical Performance (PP) — 1 hour. Candidates build a working workflow and agent in Copilot Studio, mirroring the hands-on labs.</w:t>
      </w:r>
    </w:p>
    <w:p>
      <w:pPr>
        <w:pStyle w:val="ListBullet"/>
      </w:pPr>
      <w:r>
        <w:t>Assessment flow: TRAQOM survey (QR on the LMS) → Assessment digital attendance → WA then PP → submit answers on the LMS → sign the Assessment Summary Record.</w:t>
      </w:r>
    </w:p>
    <w:p>
      <w:pPr>
        <w:pStyle w:val="ListBullet"/>
      </w:pPr>
      <w:r>
        <w:t>WSQ funding requires a minimum of 75% attendance AND a Competent (C) assessment outcome.</w:t>
      </w:r>
    </w:p>
    <w:p>
      <w:pPr>
        <w:pStyle w:val="ListBullet"/>
      </w:pPr>
      <w:r>
        <w:t>Courseware and the assessment are on the LMS: https://lms-tms.tertiaryinfotech.com/</w:t>
      </w:r>
    </w:p>
    <w:p>
      <w:r>
        <w:t>Formative assessment is continuous: each lab includes a Checkpoint that the facilitator verifies before the class moves on. Labs 1–4 verify deterministic workflows and the first model-chosen branch; Labs 5–8 verify one agent part at a time; Labs 9–11 verify multi-agent delegation and the workflow/agent boundary in both directions; Labs 12–14 progressively verify an HTTP-triggered agent flow, an unsupervised public chatbot and a blocking human review gate; Labs 15–16 verify the same grounded chatbot built two different ways, including the probes that test whether either will invent an answer; Lab 17 verifies the published agent in each channel.</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Business Process Automation with Power Automate and Copilot Studio Agents — Lesson Plan  ·  © Tertiary Infotech Academy Pte Ltd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