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6FEB"/>
          <w:sz w:val="30"/>
        </w:rPr>
        <w:t>Microsoft Copilot Studio &amp; Power Automate for Business Workflow Automation</w:t>
      </w:r>
    </w:p>
    <w:p>
      <w:pPr>
        <w:spacing w:after="40"/>
        <w:jc w:val="center"/>
      </w:pPr>
      <w:r>
        <w:rPr>
          <w:rFonts w:ascii="Arial" w:hAnsi="Arial"/>
          <w:b/>
          <w:color w:val="161B26"/>
          <w:sz w:val="24"/>
        </w:rPr>
        <w:t>Case Study (CS) Assessment — Model Answers (Marking Guide)</w:t>
      </w:r>
    </w:p>
    <w:p>
      <w:pPr>
        <w:spacing w:after="240"/>
        <w:jc w:val="center"/>
      </w:pPr>
      <w:r>
        <w:rPr>
          <w:rFonts w:ascii="Arial" w:hAnsi="Arial"/>
          <w:b w:val="0"/>
          <w:color w:val="555B66"/>
          <w:sz w:val="20"/>
        </w:rPr>
        <w:t>Course Code: TGS-2022017524</w:t>
      </w:r>
    </w:p>
    <w:p>
      <w:pPr>
        <w:spacing w:after="40"/>
      </w:pPr>
      <w:r>
        <w:rPr>
          <w:rFonts w:ascii="Arial" w:hAnsi="Arial"/>
          <w:b/>
          <w:color w:val="161B26"/>
          <w:sz w:val="22"/>
        </w:rPr>
        <w:t>Note to assessor:</w:t>
      </w:r>
    </w:p>
    <w:p>
      <w:pPr>
        <w:spacing w:after="160"/>
      </w:pPr>
      <w:r>
        <w:rPr>
          <w:rFonts w:ascii="Arial" w:hAnsi="Arial"/>
          <w:b w:val="0"/>
          <w:color w:val="161B26"/>
          <w:sz w:val="22"/>
        </w:rPr>
        <w:t>Each task maps to one ability criterion (A1–A4) and to the labs the candidate completed in class — the model answer is the lab build sequence. Award Competent (C) where the candidate produces (or correctly describes) a working build that covers the steps in bold; exact tool clicks and wording will vary.</w:t>
      </w:r>
    </w:p>
    <w:p>
      <w:pPr>
        <w:spacing w:after="80"/>
      </w:pPr>
      <w:r>
        <w:rPr>
          <w:rFonts w:ascii="Arial" w:hAnsi="Arial"/>
          <w:b/>
          <w:color w:val="161B26"/>
          <w:sz w:val="24"/>
        </w:rPr>
        <w:t>C. Case Study</w:t>
      </w:r>
    </w:p>
    <w:p>
      <w:pPr>
        <w:spacing w:after="40"/>
      </w:pPr>
      <w:r>
        <w:rPr>
          <w:rFonts w:ascii="Arial" w:hAnsi="Arial"/>
          <w:b/>
          <w:color w:val="161B26"/>
          <w:sz w:val="22"/>
        </w:rPr>
        <w:t>Scenario:</w:t>
      </w:r>
    </w:p>
    <w:p>
      <w:pPr>
        <w:spacing w:after="80"/>
      </w:pPr>
      <w:r>
        <w:rPr>
          <w:rFonts w:ascii="Arial" w:hAnsi="Arial"/>
          <w:b w:val="0"/>
          <w:color w:val="161B26"/>
          <w:sz w:val="22"/>
        </w:rPr>
        <w:t>ACME Pte Ltd is a Singapore-based office-supplies distributor with about 60 staff across Sales, Finance, Procurement and Operations. Today most of its everyday processes still run on email and shared spreadsheets:</w:t>
      </w:r>
    </w:p>
    <w:p>
      <w:pPr>
        <w:pStyle w:val="ListBullet"/>
        <w:spacing w:after="60"/>
      </w:pPr>
      <w:r>
        <w:rPr>
          <w:rFonts w:ascii="Arial" w:hAnsi="Arial"/>
          <w:b w:val="0"/>
          <w:color w:val="161B26"/>
          <w:sz w:val="22"/>
        </w:rPr>
        <w:t>Customers email or call in sales enquiries; a salesperson replies manually and re-types the details into a spreadsheet.</w:t>
      </w:r>
    </w:p>
    <w:p>
      <w:pPr>
        <w:pStyle w:val="ListBullet"/>
        <w:spacing w:after="60"/>
      </w:pPr>
      <w:r>
        <w:rPr>
          <w:rFonts w:ascii="Arial" w:hAnsi="Arial"/>
          <w:b w:val="0"/>
          <w:color w:val="161B26"/>
          <w:sz w:val="22"/>
        </w:rPr>
        <w:t>Customers place orders by email; Operations re-keys each order into an order sheet and writes a confirmation email by hand.</w:t>
      </w:r>
    </w:p>
    <w:p>
      <w:pPr>
        <w:pStyle w:val="ListBullet"/>
        <w:spacing w:after="60"/>
      </w:pPr>
      <w:r>
        <w:rPr>
          <w:rFonts w:ascii="Arial" w:hAnsi="Arial"/>
          <w:b w:val="0"/>
          <w:color w:val="161B26"/>
          <w:sz w:val="22"/>
        </w:rPr>
        <w:t>Staff raise purchase requests by emailing their manager; approvals are chased over email and the status is tracked manually.</w:t>
      </w:r>
    </w:p>
    <w:p>
      <w:pPr>
        <w:pStyle w:val="ListBullet"/>
        <w:spacing w:after="60"/>
      </w:pPr>
      <w:r>
        <w:rPr>
          <w:rFonts w:ascii="Arial" w:hAnsi="Arial"/>
          <w:b w:val="0"/>
          <w:color w:val="161B26"/>
          <w:sz w:val="22"/>
        </w:rPr>
        <w:t>Suppliers send invoices as PDF attachments; Finance saves them to a folder, seeks approval by email, and records the outcome in a spreadsheet.</w:t>
      </w:r>
    </w:p>
    <w:p>
      <w:pPr>
        <w:spacing w:after="160"/>
      </w:pPr>
      <w:r>
        <w:rPr>
          <w:rFonts w:ascii="Arial" w:hAnsi="Arial"/>
          <w:b w:val="0"/>
          <w:color w:val="161B26"/>
          <w:sz w:val="22"/>
        </w:rPr>
        <w:t>The manual approach causes lost enquiries, inconsistent acknowledgement emails, missed approval thresholds, and no reliable audit trail. ACME has Microsoft 365 (Outlook, Excel on OneDrive, Microsoft Forms), Power Automate and Copilot Studio available in a managed environment (“ACME Sandbox”), with the Approvals and Office 365 Outlook connectors enabled. Using exactly the techniques you built in the hands-on labs, build (or describe the build of) the automations below.</w:t>
      </w:r>
    </w:p>
    <w:p>
      <w:pPr>
        <w:spacing w:after="40"/>
      </w:pPr>
      <w:r>
        <w:rPr>
          <w:rFonts w:ascii="Arial" w:hAnsi="Arial"/>
          <w:b/>
          <w:color w:val="1F6FEB"/>
          <w:sz w:val="24"/>
        </w:rPr>
        <w:t>Question 1 (A1) — Model Answer</w:t>
      </w:r>
    </w:p>
    <w:p>
      <w:pPr>
        <w:spacing w:after="80"/>
      </w:pPr>
      <w:r>
        <w:rPr>
          <w:rFonts w:ascii="Arial" w:hAnsi="Arial"/>
          <w:b/>
          <w:color w:val="161B26"/>
          <w:sz w:val="22"/>
        </w:rPr>
        <w:t xml:space="preserve">Reference: </w:t>
      </w:r>
      <w:r>
        <w:rPr>
          <w:rFonts w:ascii="Arial" w:hAnsi="Arial"/>
          <w:b w:val="0"/>
          <w:color w:val="161B26"/>
          <w:sz w:val="22"/>
        </w:rPr>
        <w:t>Labs 1, 2, 5, 11 — pattern: Capture → Log → Notify (Module 4)</w:t>
      </w:r>
    </w:p>
    <w:p>
      <w:pPr>
        <w:pStyle w:val="ListNumber"/>
        <w:spacing w:after="60"/>
      </w:pPr>
      <w:r>
        <w:rPr>
          <w:rFonts w:ascii="Arial" w:hAnsi="Arial"/>
          <w:b w:val="0"/>
          <w:color w:val="161B26"/>
          <w:sz w:val="22"/>
        </w:rPr>
        <w:t>Trigger: start with “Manually trigger a flow” to build and test, then swap in the real trigger — Microsoft Forms “When a new response is submitted” (Lab 5). (Module 2 tip: build manual first, swap the trigger last.)</w:t>
      </w:r>
    </w:p>
    <w:p>
      <w:pPr>
        <w:pStyle w:val="ListNumber"/>
        <w:spacing w:after="60"/>
      </w:pPr>
      <w:r>
        <w:rPr>
          <w:rFonts w:ascii="Arial" w:hAnsi="Arial"/>
          <w:b w:val="0"/>
          <w:color w:val="161B26"/>
          <w:sz w:val="22"/>
        </w:rPr>
        <w:t>Capture the fields from the form response (name, company, product interest, contact email).</w:t>
      </w:r>
    </w:p>
    <w:p>
      <w:pPr>
        <w:pStyle w:val="ListNumber"/>
        <w:spacing w:after="60"/>
      </w:pPr>
      <w:r>
        <w:rPr>
          <w:rFonts w:ascii="Arial" w:hAnsi="Arial"/>
          <w:b w:val="0"/>
          <w:color w:val="161B26"/>
          <w:sz w:val="22"/>
        </w:rPr>
        <w:t>Add a row into a table — Excel Online (Business), into a named “Leads” Table; map the fields and set the date with the fx editor: formatDateTime(utcNow(),'yyyy-MM-dd HH:mm') (Lab 2). Excel only sees data inside a Table.</w:t>
      </w:r>
    </w:p>
    <w:p>
      <w:pPr>
        <w:pStyle w:val="ListNumber"/>
        <w:spacing w:after="60"/>
      </w:pPr>
      <w:r>
        <w:rPr>
          <w:rFonts w:ascii="Arial" w:hAnsi="Arial"/>
          <w:b w:val="0"/>
          <w:color w:val="161B26"/>
          <w:sz w:val="22"/>
        </w:rPr>
        <w:t>Generate a personalised acknowledgement with an AI prompt (Lab 11).</w:t>
      </w:r>
    </w:p>
    <w:p>
      <w:pPr>
        <w:pStyle w:val="ListNumber"/>
        <w:spacing w:after="60"/>
      </w:pPr>
      <w:r>
        <w:rPr>
          <w:rFonts w:ascii="Arial" w:hAnsi="Arial"/>
          <w:b w:val="0"/>
          <w:color w:val="161B26"/>
          <w:sz w:val="22"/>
        </w:rPr>
        <w:t>Send an email (V2) — Office 365 Outlook — the acknowledgement to the customer (Lab 1); use dynamic content for name/product.</w:t>
      </w:r>
    </w:p>
    <w:p>
      <w:pPr>
        <w:pStyle w:val="ListNumber"/>
        <w:spacing w:after="60"/>
      </w:pPr>
      <w:r>
        <w:rPr>
          <w:rFonts w:ascii="Arial" w:hAnsi="Arial"/>
          <w:b w:val="0"/>
          <w:color w:val="161B26"/>
          <w:sz w:val="22"/>
        </w:rPr>
        <w:t>Notify the assigned salesperson by a second Send an email (V2) (or Post message in Teams).</w:t>
      </w:r>
    </w:p>
    <w:p>
      <w:pPr>
        <w:pStyle w:val="ListNumber"/>
        <w:spacing w:after="60"/>
      </w:pPr>
      <w:r>
        <w:rPr>
          <w:rFonts w:ascii="Arial" w:hAnsi="Arial"/>
          <w:b w:val="0"/>
          <w:color w:val="161B26"/>
          <w:sz w:val="22"/>
        </w:rPr>
        <w:t>End state: the lead is logged in Excel (audit trail) and the customer + salesperson are notified. Confirm every connection is green ✓ before testing, and check the row + emails in a test run (run history all green).</w:t>
      </w:r>
    </w:p>
    <w:p>
      <w:pPr>
        <w:spacing w:after="80"/>
      </w:pPr>
      <w:r>
        <w:rPr>
          <w:rFonts w:ascii="Arial" w:hAnsi="Arial"/>
          <w:b w:val="0"/>
          <w:color w:val="161B26"/>
          <w:sz w:val="22"/>
        </w:rPr>
      </w:r>
    </w:p>
    <w:p>
      <w:pPr>
        <w:spacing w:after="40"/>
      </w:pPr>
      <w:r>
        <w:rPr>
          <w:rFonts w:ascii="Arial" w:hAnsi="Arial"/>
          <w:b/>
          <w:color w:val="1F6FEB"/>
          <w:sz w:val="24"/>
        </w:rPr>
        <w:t>Question 2 (A2) — Model Answer</w:t>
      </w:r>
    </w:p>
    <w:p>
      <w:pPr>
        <w:spacing w:after="80"/>
      </w:pPr>
      <w:r>
        <w:rPr>
          <w:rFonts w:ascii="Arial" w:hAnsi="Arial"/>
          <w:b/>
          <w:color w:val="161B26"/>
          <w:sz w:val="22"/>
        </w:rPr>
        <w:t xml:space="preserve">Reference: </w:t>
      </w:r>
      <w:r>
        <w:rPr>
          <w:rFonts w:ascii="Arial" w:hAnsi="Arial"/>
          <w:b w:val="0"/>
          <w:color w:val="161B26"/>
          <w:sz w:val="22"/>
        </w:rPr>
        <w:t>Labs 2, 3, 14 — pattern: Request → Approve → Notify (Module 4)</w:t>
      </w:r>
    </w:p>
    <w:p>
      <w:pPr>
        <w:pStyle w:val="ListNumber"/>
        <w:spacing w:after="60"/>
      </w:pPr>
      <w:r>
        <w:rPr>
          <w:rFonts w:ascii="Arial" w:hAnsi="Arial"/>
          <w:b w:val="0"/>
          <w:color w:val="161B26"/>
          <w:sz w:val="22"/>
        </w:rPr>
        <w:t>Trigger / capture: a Microsoft Form or an agent captures requester, item, cost, justification. Set the cost field type to Number so it can be compared (Lab 9 / Lab 14).</w:t>
      </w:r>
    </w:p>
    <w:p>
      <w:pPr>
        <w:pStyle w:val="ListNumber"/>
        <w:spacing w:after="60"/>
      </w:pPr>
      <w:r>
        <w:rPr>
          <w:rFonts w:ascii="Arial" w:hAnsi="Arial"/>
          <w:b w:val="0"/>
          <w:color w:val="161B26"/>
          <w:sz w:val="22"/>
        </w:rPr>
        <w:t>Add a row into a table — Excel “Purchase Requests” Table — requester, item, cost, timestamp (fx), Status = “Submitted” (Lab 2).</w:t>
      </w:r>
    </w:p>
    <w:p>
      <w:pPr>
        <w:pStyle w:val="ListNumber"/>
        <w:spacing w:after="60"/>
      </w:pPr>
      <w:r>
        <w:rPr>
          <w:rFonts w:ascii="Arial" w:hAnsi="Arial"/>
          <w:b w:val="0"/>
          <w:color w:val="161B26"/>
          <w:sz w:val="22"/>
        </w:rPr>
        <w:t>Condition: if cost is greater than the threshold (e.g. $500) → approval branch; otherwise → auto-approve branch (Lab 3 / Lab 14).</w:t>
      </w:r>
    </w:p>
    <w:p>
      <w:pPr>
        <w:pStyle w:val="ListNumber"/>
        <w:spacing w:after="60"/>
      </w:pPr>
      <w:r>
        <w:rPr>
          <w:rFonts w:ascii="Arial" w:hAnsi="Arial"/>
          <w:b w:val="0"/>
          <w:color w:val="161B26"/>
          <w:sz w:val="22"/>
        </w:rPr>
        <w:t>Approval branch: Start and wait for an approval (Approve / Reject); set Assigned to by picking a real tenant manager from the dropdown — never an external address, or it will hang (Module 2 / 4 reminder).</w:t>
      </w:r>
    </w:p>
    <w:p>
      <w:pPr>
        <w:pStyle w:val="ListNumber"/>
        <w:spacing w:after="60"/>
      </w:pPr>
      <w:r>
        <w:rPr>
          <w:rFonts w:ascii="Arial" w:hAnsi="Arial"/>
          <w:b w:val="0"/>
          <w:color w:val="161B26"/>
          <w:sz w:val="22"/>
        </w:rPr>
        <w:t>Approved → Update a row: Status = “Approved”; Send an email (V2) to the requester; notify Procurement.</w:t>
      </w:r>
    </w:p>
    <w:p>
      <w:pPr>
        <w:pStyle w:val="ListNumber"/>
        <w:spacing w:after="60"/>
      </w:pPr>
      <w:r>
        <w:rPr>
          <w:rFonts w:ascii="Arial" w:hAnsi="Arial"/>
          <w:b w:val="0"/>
          <w:color w:val="161B26"/>
          <w:sz w:val="22"/>
        </w:rPr>
        <w:t>Rejected → Update a row: Status = “Rejected”; Send an email (V2) to the requester including the approval comments (reason).</w:t>
      </w:r>
    </w:p>
    <w:p>
      <w:pPr>
        <w:pStyle w:val="ListNumber"/>
        <w:spacing w:after="60"/>
      </w:pPr>
      <w:r>
        <w:rPr>
          <w:rFonts w:ascii="Arial" w:hAnsi="Arial"/>
          <w:b w:val="0"/>
          <w:color w:val="161B26"/>
          <w:sz w:val="22"/>
        </w:rPr>
        <w:t>Below threshold → Update a row: Status = “Auto-approved”; notify the requester.</w:t>
      </w:r>
    </w:p>
    <w:p>
      <w:pPr>
        <w:pStyle w:val="ListNumber"/>
        <w:spacing w:after="60"/>
      </w:pPr>
      <w:r>
        <w:rPr>
          <w:rFonts w:ascii="Arial" w:hAnsi="Arial"/>
          <w:b w:val="0"/>
          <w:color w:val="161B26"/>
          <w:sz w:val="22"/>
        </w:rPr>
        <w:t>Test both branches just above and just below the threshold, plus Approve and Reject; check the Status column and emails; confirm connections green ✓ (Lab 14).</w:t>
      </w:r>
    </w:p>
    <w:p>
      <w:pPr>
        <w:spacing w:after="80"/>
      </w:pPr>
      <w:r>
        <w:rPr>
          <w:rFonts w:ascii="Arial" w:hAnsi="Arial"/>
          <w:b w:val="0"/>
          <w:color w:val="161B26"/>
          <w:sz w:val="22"/>
        </w:rPr>
      </w:r>
    </w:p>
    <w:p>
      <w:pPr>
        <w:spacing w:after="40"/>
      </w:pPr>
      <w:r>
        <w:rPr>
          <w:rFonts w:ascii="Arial" w:hAnsi="Arial"/>
          <w:b/>
          <w:color w:val="1F6FEB"/>
          <w:sz w:val="24"/>
        </w:rPr>
        <w:t>Question 3 (A3) — Model Answer</w:t>
      </w:r>
    </w:p>
    <w:p>
      <w:pPr>
        <w:spacing w:after="80"/>
      </w:pPr>
      <w:r>
        <w:rPr>
          <w:rFonts w:ascii="Arial" w:hAnsi="Arial"/>
          <w:b/>
          <w:color w:val="161B26"/>
          <w:sz w:val="22"/>
        </w:rPr>
        <w:t xml:space="preserve">Reference: </w:t>
      </w:r>
      <w:r>
        <w:rPr>
          <w:rFonts w:ascii="Arial" w:hAnsi="Arial"/>
          <w:b w:val="0"/>
          <w:color w:val="161B26"/>
          <w:sz w:val="22"/>
        </w:rPr>
        <w:t>Labs 6, 7, 8, 9 — agent components (Module 3)</w:t>
      </w:r>
    </w:p>
    <w:p>
      <w:pPr>
        <w:pStyle w:val="ListNumber"/>
        <w:spacing w:after="60"/>
      </w:pPr>
      <w:r>
        <w:rPr>
          <w:rFonts w:ascii="Arial" w:hAnsi="Arial"/>
          <w:b w:val="0"/>
          <w:color w:val="161B26"/>
          <w:sz w:val="22"/>
        </w:rPr>
        <w:t>Create the agent in Copilot Studio and write its Instructions (e.g. “You are ACME’s customer assistant. Answer only from the provided knowledge; collect product, quantity and delivery address.”) (Lab 6).</w:t>
      </w:r>
    </w:p>
    <w:p>
      <w:pPr>
        <w:pStyle w:val="ListNumber"/>
        <w:spacing w:after="60"/>
      </w:pPr>
      <w:r>
        <w:rPr>
          <w:rFonts w:ascii="Arial" w:hAnsi="Arial"/>
          <w:b w:val="0"/>
          <w:color w:val="161B26"/>
          <w:sz w:val="22"/>
        </w:rPr>
        <w:t>(a) Knowledge / RAG: add ACME’s product sheets, price list and returns/warranty policy as Knowledge sources (files, or a SharePoint/website). Turn General knowledge OFF so it answers only from your sources; this is RAG and it prevents hallucination (Lab 7).</w:t>
      </w:r>
    </w:p>
    <w:p>
      <w:pPr>
        <w:pStyle w:val="ListNumber"/>
        <w:spacing w:after="60"/>
      </w:pPr>
      <w:r>
        <w:rPr>
          <w:rFonts w:ascii="Arial" w:hAnsi="Arial"/>
          <w:b w:val="0"/>
          <w:color w:val="161B26"/>
          <w:sz w:val="22"/>
        </w:rPr>
        <w:t>Test grounding: ask something in the docs (cited answer) and something not in the docs (it should say it doesn’t have that information) (Lab 7).</w:t>
      </w:r>
    </w:p>
    <w:p>
      <w:pPr>
        <w:pStyle w:val="ListNumber"/>
        <w:spacing w:after="60"/>
      </w:pPr>
      <w:r>
        <w:rPr>
          <w:rFonts w:ascii="Arial" w:hAnsi="Arial"/>
          <w:b w:val="0"/>
          <w:color w:val="161B26"/>
          <w:sz w:val="22"/>
        </w:rPr>
        <w:t>(b) Structured capture: build a Topic with Ask a question nodes storing each answer in a variable (product, quantity, deliveryAddress); set quantity to Number and re-ask on bad/missing input (Lab 9).</w:t>
      </w:r>
    </w:p>
    <w:p>
      <w:pPr>
        <w:pStyle w:val="ListNumber"/>
        <w:spacing w:after="60"/>
      </w:pPr>
      <w:r>
        <w:rPr>
          <w:rFonts w:ascii="Arial" w:hAnsi="Arial"/>
          <w:b w:val="0"/>
          <w:color w:val="161B26"/>
          <w:sz w:val="22"/>
        </w:rPr>
        <w:t>(c) Tool / action: add a tool with a clear name and description — a single connector action (e.g. Send an email V2) for one step, or a Power Automate agent flow for multi-step work (Lab 8). With generative orchestration the agent picks the tool from its description, so write it precisely; if two tools overlap, turn the other one Off while testing.</w:t>
      </w:r>
    </w:p>
    <w:p>
      <w:pPr>
        <w:pStyle w:val="ListNumber"/>
        <w:spacing w:after="60"/>
      </w:pPr>
      <w:r>
        <w:rPr>
          <w:rFonts w:ascii="Arial" w:hAnsi="Arial"/>
          <w:b w:val="0"/>
          <w:color w:val="161B26"/>
          <w:sz w:val="22"/>
        </w:rPr>
        <w:t>Refresh the Test pane and confirm the agent answers from knowledge, captures the variables, and calls the tool.</w:t>
      </w:r>
    </w:p>
    <w:p>
      <w:pPr>
        <w:spacing w:after="80"/>
      </w:pPr>
      <w:r>
        <w:rPr>
          <w:rFonts w:ascii="Arial" w:hAnsi="Arial"/>
          <w:b w:val="0"/>
          <w:color w:val="161B26"/>
          <w:sz w:val="22"/>
        </w:rPr>
      </w:r>
    </w:p>
    <w:p>
      <w:pPr>
        <w:spacing w:after="40"/>
      </w:pPr>
      <w:r>
        <w:rPr>
          <w:rFonts w:ascii="Arial" w:hAnsi="Arial"/>
          <w:b/>
          <w:color w:val="1F6FEB"/>
          <w:sz w:val="24"/>
        </w:rPr>
        <w:t>Question 4 (A4) — Model Answer</w:t>
      </w:r>
    </w:p>
    <w:p>
      <w:pPr>
        <w:spacing w:after="80"/>
      </w:pPr>
      <w:r>
        <w:rPr>
          <w:rFonts w:ascii="Arial" w:hAnsi="Arial"/>
          <w:b/>
          <w:color w:val="161B26"/>
          <w:sz w:val="22"/>
        </w:rPr>
        <w:t xml:space="preserve">Reference: </w:t>
      </w:r>
      <w:r>
        <w:rPr>
          <w:rFonts w:ascii="Arial" w:hAnsi="Arial"/>
          <w:b w:val="0"/>
          <w:color w:val="161B26"/>
          <w:sz w:val="22"/>
        </w:rPr>
        <w:t>Labs 10, 11, 15 — end-to-end orchestration (Module 4)</w:t>
      </w:r>
    </w:p>
    <w:p>
      <w:pPr>
        <w:pStyle w:val="ListNumber"/>
        <w:spacing w:after="60"/>
      </w:pPr>
      <w:r>
        <w:rPr>
          <w:rFonts w:ascii="Arial" w:hAnsi="Arial"/>
          <w:b w:val="0"/>
          <w:color w:val="161B26"/>
          <w:sz w:val="22"/>
        </w:rPr>
        <w:t>Capture: the agent collects product, quantity, delivery address into variables (Lab 9 / Lab 15).</w:t>
      </w:r>
    </w:p>
    <w:p>
      <w:pPr>
        <w:pStyle w:val="ListNumber"/>
        <w:spacing w:after="60"/>
      </w:pPr>
      <w:r>
        <w:rPr>
          <w:rFonts w:ascii="Arial" w:hAnsi="Arial"/>
          <w:b w:val="0"/>
          <w:color w:val="161B26"/>
          <w:sz w:val="22"/>
        </w:rPr>
        <w:t>Connect agent → flow: build a Power Automate flow whose trigger is “When an agent calls the flow”; add flow inputs that match the agent variables, and end the flow with “Respond to the agent” returning a confirmation/status output (Lab 10). It is the same Day-1 flow building — only the trigger changes.</w:t>
      </w:r>
    </w:p>
    <w:p>
      <w:pPr>
        <w:pStyle w:val="ListNumber"/>
        <w:spacing w:after="60"/>
      </w:pPr>
      <w:r>
        <w:rPr>
          <w:rFonts w:ascii="Arial" w:hAnsi="Arial"/>
          <w:b w:val="0"/>
          <w:color w:val="161B26"/>
          <w:sz w:val="22"/>
        </w:rPr>
        <w:t>Map the data: in the agent tool, map each variable to its flow input (Fill using → Dynamically fill with AI, or a Custom value), and show the returned message back in the chat (Lab 10).</w:t>
      </w:r>
    </w:p>
    <w:p>
      <w:pPr>
        <w:pStyle w:val="ListNumber"/>
        <w:spacing w:after="60"/>
      </w:pPr>
      <w:r>
        <w:rPr>
          <w:rFonts w:ascii="Arial" w:hAnsi="Arial"/>
          <w:b w:val="0"/>
          <w:color w:val="161B26"/>
          <w:sz w:val="22"/>
        </w:rPr>
        <w:t>Inside the flow: Add a row to the Orders Table (Status = “Received”); use an AI prompt to draft the order-confirmation text (Lab 11); Condition — if quantity is above the restock threshold, Send an email (V2) restock alert to the warehouse; Send an email (V2) confirmation to the customer; Update a row to Status = “Confirmed” (Lab 15).</w:t>
      </w:r>
    </w:p>
    <w:p>
      <w:pPr>
        <w:pStyle w:val="ListNumber"/>
        <w:spacing w:after="60"/>
      </w:pPr>
      <w:r>
        <w:rPr>
          <w:rFonts w:ascii="Arial" w:hAnsi="Arial"/>
          <w:b w:val="0"/>
          <w:color w:val="161B26"/>
          <w:sz w:val="22"/>
        </w:rPr>
        <w:t>Every outcome (no dead ends): happy path → logged + confirmed; large order → also raises the restock alert; bad/missing input → the agent re-asks and the flow validates so it does not crash, then responds with a helpful message.</w:t>
      </w:r>
    </w:p>
    <w:p>
      <w:pPr>
        <w:pStyle w:val="ListNumber"/>
        <w:spacing w:after="60"/>
      </w:pPr>
      <w:r>
        <w:rPr>
          <w:rFonts w:ascii="Arial" w:hAnsi="Arial"/>
          <w:b w:val="0"/>
          <w:color w:val="161B26"/>
          <w:sz w:val="22"/>
        </w:rPr>
        <w:t>Test: work through the test log — happy path, threshold just above/below, and bad input; open the flow’s Run history (every step green); verify the Orders rows and the delivered emails; confirm all connections green ✓ and recipients are real tenant users (Lab 15 / Lab 16).</w:t>
      </w:r>
    </w:p>
    <w:p>
      <w:pPr>
        <w:spacing w:after="80"/>
      </w:pPr>
      <w:r>
        <w:rPr>
          <w:rFonts w:ascii="Arial" w:hAnsi="Arial"/>
          <w:b w:val="0"/>
          <w:color w:val="161B26"/>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