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6FEB"/>
          <w:sz w:val="30"/>
        </w:rPr>
        <w:t>Microsoft Copilot Studio &amp; Power Automate for Business Workflow Automation</w:t>
      </w:r>
    </w:p>
    <w:p>
      <w:pPr>
        <w:spacing w:after="40"/>
        <w:jc w:val="center"/>
      </w:pPr>
      <w:r>
        <w:rPr>
          <w:rFonts w:ascii="Arial" w:hAnsi="Arial"/>
          <w:b/>
          <w:color w:val="161B26"/>
          <w:sz w:val="24"/>
        </w:rPr>
        <w:t>Written Assessment (WA) — Answer Key &amp; Marking Guide</w:t>
      </w:r>
    </w:p>
    <w:p>
      <w:pPr>
        <w:spacing w:after="240"/>
        <w:jc w:val="center"/>
      </w:pPr>
      <w:r>
        <w:rPr>
          <w:rFonts w:ascii="Arial" w:hAnsi="Arial"/>
          <w:b w:val="0"/>
          <w:color w:val="555B66"/>
          <w:sz w:val="20"/>
        </w:rPr>
        <w:t>Course Code: TGS-2022017524</w:t>
      </w:r>
    </w:p>
    <w:p>
      <w:pPr>
        <w:spacing w:after="160"/>
      </w:pPr>
      <w:r>
        <w:rPr>
          <w:rFonts w:ascii="Arial" w:hAnsi="Arial"/>
          <w:b w:val="0"/>
          <w:color w:val="161B26"/>
          <w:sz w:val="22"/>
        </w:rPr>
        <w:t>Mark each answer against the model points below — award the mark where the candidate covers the key terms; wording will vary. All items are taught in Modules 1–4 (source shown in brackets).</w:t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Q1. </w:t>
      </w:r>
      <w:r>
        <w:rPr>
          <w:rFonts w:ascii="Arial" w:hAnsi="Arial"/>
          <w:b w:val="0"/>
          <w:color w:val="161B26"/>
          <w:sz w:val="22"/>
        </w:rPr>
        <w:t>List the three traits that make a task a good candidate for automation.</w:t>
      </w:r>
      <w:r>
        <w:rPr>
          <w:rFonts w:ascii="Arial" w:hAnsi="Arial"/>
          <w:b w:val="0"/>
          <w:color w:val="161B26"/>
          <w:sz w:val="22"/>
        </w:rPr>
        <w:t xml:space="preserve">   [Module 1]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Repetitive — done the same way many times.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Rule-based — clear “if this, then that” logic.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Time-consuming — manual copying, chasing, or re-typing.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Q2. </w:t>
      </w:r>
      <w:r>
        <w:rPr>
          <w:rFonts w:ascii="Arial" w:hAnsi="Arial"/>
          <w:b w:val="0"/>
          <w:color w:val="161B26"/>
          <w:sz w:val="22"/>
        </w:rPr>
        <w:t>State the three-part mental model of a workflow used throughout this course.</w:t>
      </w:r>
      <w:r>
        <w:rPr>
          <w:rFonts w:ascii="Arial" w:hAnsi="Arial"/>
          <w:b w:val="0"/>
          <w:color w:val="161B26"/>
          <w:sz w:val="22"/>
        </w:rPr>
        <w:t xml:space="preserve">   [Module 1]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Trigger → Actions → Output.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An event starts it (trigger), the flow performs steps (actions), and data is produced/passed along (output).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Q3. </w:t>
      </w:r>
      <w:r>
        <w:rPr>
          <w:rFonts w:ascii="Arial" w:hAnsi="Arial"/>
          <w:b w:val="0"/>
          <w:color w:val="161B26"/>
          <w:sz w:val="22"/>
        </w:rPr>
        <w:t>List the four building blocks of workflow logic, with a one-word example of each.</w:t>
      </w:r>
      <w:r>
        <w:rPr>
          <w:rFonts w:ascii="Arial" w:hAnsi="Arial"/>
          <w:b w:val="0"/>
          <w:color w:val="161B26"/>
          <w:sz w:val="22"/>
        </w:rPr>
        <w:t xml:space="preserve">   [Module 1]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Trigger — what starts the workflow (e.g. an email arrives / a form is submitted).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Actions — what the workflow does (e.g. send an email, add a row, start an approval).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Outputs — the data the workflow produces or passes along (e.g. the new row, the approval outcome).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Steps — the ordered sequence as a whole, including conditions (if/else) and loops.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Q4. </w:t>
      </w:r>
      <w:r>
        <w:rPr>
          <w:rFonts w:ascii="Arial" w:hAnsi="Arial"/>
          <w:b w:val="0"/>
          <w:color w:val="161B26"/>
          <w:sz w:val="22"/>
        </w:rPr>
        <w:t>Name three flow types covered in the course and the event that starts each one.</w:t>
      </w:r>
      <w:r>
        <w:rPr>
          <w:rFonts w:ascii="Arial" w:hAnsi="Arial"/>
          <w:b w:val="0"/>
          <w:color w:val="161B26"/>
          <w:sz w:val="22"/>
        </w:rPr>
        <w:t xml:space="preserve">   [Module 2]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Instant / manual — a person presses Run (Labs 1–3).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Scheduled — a Recurrence timetable is reached (Lab 4).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Automated — an event such as a new form response, new email, or new file (Lab 5, Day 3).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Agent flow — a Copilot Studio agent calls the flow as a tool (Day 2–3).  [any three]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Q5. </w:t>
      </w:r>
      <w:r>
        <w:rPr>
          <w:rFonts w:ascii="Arial" w:hAnsi="Arial"/>
          <w:b w:val="0"/>
          <w:color w:val="161B26"/>
          <w:sz w:val="22"/>
        </w:rPr>
        <w:t>Which trigger lets a Copilot Studio agent run a Power Automate flow as a tool? Name it exactly.</w:t>
      </w:r>
      <w:r>
        <w:rPr>
          <w:rFonts w:ascii="Arial" w:hAnsi="Arial"/>
          <w:b w:val="0"/>
          <w:color w:val="161B26"/>
          <w:sz w:val="22"/>
        </w:rPr>
        <w:t xml:space="preserve">   [Module 2 / 3]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“When an agent calls the flow.”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flow then ends with a “Respond to the agent” action to return a result.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Q6. </w:t>
      </w:r>
      <w:r>
        <w:rPr>
          <w:rFonts w:ascii="Arial" w:hAnsi="Arial"/>
          <w:b w:val="0"/>
          <w:color w:val="161B26"/>
          <w:sz w:val="22"/>
        </w:rPr>
        <w:t>In Power Automate, Excel actions can only read or write data that is inside what structure? Why does this matter?</w:t>
      </w:r>
      <w:r>
        <w:rPr>
          <w:rFonts w:ascii="Arial" w:hAnsi="Arial"/>
          <w:b w:val="0"/>
          <w:color w:val="161B26"/>
          <w:sz w:val="22"/>
        </w:rPr>
        <w:t xml:space="preserve">   [Module 2 / Lab 2]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 named Table (Insert → Table) — not loose cells.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Actions like “Add a row into a table” only see data inside a Table; this is a classic first-time gotcha.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Q7. </w:t>
      </w:r>
      <w:r>
        <w:rPr>
          <w:rFonts w:ascii="Arial" w:hAnsi="Arial"/>
          <w:b w:val="0"/>
          <w:color w:val="161B26"/>
          <w:sz w:val="22"/>
        </w:rPr>
        <w:t>What does an “Unauthorized” error usually mean when a Send an email action runs, and how do you fix it?</w:t>
      </w:r>
      <w:r>
        <w:rPr>
          <w:rFonts w:ascii="Arial" w:hAnsi="Arial"/>
          <w:b w:val="0"/>
          <w:color w:val="161B26"/>
          <w:sz w:val="22"/>
        </w:rPr>
        <w:t xml:space="preserve">   [Module 2]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signed-in account lacks rights for that action (e.g. it is not mailbox-enabled), or the connection is broken/expired.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Fix: reconnect the connector with a valid, mailbox-enabled tenant account. Golden rule: green = ready, red = reconnect first.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Q8. </w:t>
      </w:r>
      <w:r>
        <w:rPr>
          <w:rFonts w:ascii="Arial" w:hAnsi="Arial"/>
          <w:b w:val="0"/>
          <w:color w:val="161B26"/>
          <w:sz w:val="22"/>
        </w:rPr>
        <w:t>In an approval step (Start and wait for an approval), who must the approver be, and what happens if you ignore this?</w:t>
      </w:r>
      <w:r>
        <w:rPr>
          <w:rFonts w:ascii="Arial" w:hAnsi="Arial"/>
          <w:b w:val="0"/>
          <w:color w:val="161B26"/>
          <w:sz w:val="22"/>
        </w:rPr>
        <w:t xml:space="preserve">   [Module 2 / 4]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The approver must be a real user in your Microsoft 365 tenant (yourself is fine for testing).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An external / personal email address never receives the request, so the flow appears to hang.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Q9. </w:t>
      </w:r>
      <w:r>
        <w:rPr>
          <w:rFonts w:ascii="Arial" w:hAnsi="Arial"/>
          <w:b w:val="0"/>
          <w:color w:val="161B26"/>
          <w:sz w:val="22"/>
        </w:rPr>
        <w:t>What technique lets an agent’s Knowledge answer from your own documents? Spell out the acronym and say what it prevents.</w:t>
      </w:r>
      <w:r>
        <w:rPr>
          <w:rFonts w:ascii="Arial" w:hAnsi="Arial"/>
          <w:b w:val="0"/>
          <w:color w:val="161B26"/>
          <w:sz w:val="22"/>
        </w:rPr>
        <w:t xml:space="preserve">   [Module 3 / Lab 7]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RAG — Retrieval-Augmented Generation: it retrieves relevant passages from your files and generates an answer grounded in them.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Grounding the agent in your sources (and turning General knowledge off) prevents hallucination / made-up answers.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Q10. </w:t>
      </w:r>
      <w:r>
        <w:rPr>
          <w:rFonts w:ascii="Arial" w:hAnsi="Arial"/>
          <w:b w:val="0"/>
          <w:color w:val="161B26"/>
          <w:sz w:val="22"/>
        </w:rPr>
        <w:t>What is the most reliable way to get structured output from an agent so a flow receives clean inputs?</w:t>
      </w:r>
      <w:r>
        <w:rPr>
          <w:rFonts w:ascii="Arial" w:hAnsi="Arial"/>
          <w:b w:val="0"/>
          <w:color w:val="161B26"/>
          <w:sz w:val="22"/>
        </w:rPr>
        <w:t xml:space="preserve">   [Module 3 / Lab 9]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Capture each answer into its own named variable using Ask a question nodes (e.g. customerName, product, quantity).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Set numeric fields to Number and re-ask on missing/invalid input. Structured agent output = clean flow inputs.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Q11. </w:t>
      </w:r>
      <w:r>
        <w:rPr>
          <w:rFonts w:ascii="Arial" w:hAnsi="Arial"/>
          <w:b w:val="0"/>
          <w:color w:val="161B26"/>
          <w:sz w:val="22"/>
        </w:rPr>
        <w:t>List the five components of a Copilot Studio agent and what each is for.</w:t>
      </w:r>
      <w:r>
        <w:rPr>
          <w:rFonts w:ascii="Arial" w:hAnsi="Arial"/>
          <w:b w:val="0"/>
          <w:color w:val="161B26"/>
          <w:sz w:val="22"/>
        </w:rPr>
        <w:t xml:space="preserve">   [Module 3]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Instructions — plain-language directions that shape the agent’s behaviour.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Knowledge — documents / sites the agent can answer from (RAG).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Topics — conversation flows triggered by what the user says.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Tools / Actions — things the agent can do, including Power Automate flows.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Variables — where captured answers are stored to pass onward.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Q12. </w:t>
      </w:r>
      <w:r>
        <w:rPr>
          <w:rFonts w:ascii="Arial" w:hAnsi="Arial"/>
          <w:b w:val="0"/>
          <w:color w:val="161B26"/>
          <w:sz w:val="22"/>
        </w:rPr>
        <w:t>With generative orchestration, what does the agent use to decide which tool to call? What follows for how you write a tool?</w:t>
      </w:r>
      <w:r>
        <w:rPr>
          <w:rFonts w:ascii="Arial" w:hAnsi="Arial"/>
          <w:b w:val="0"/>
          <w:color w:val="161B26"/>
          <w:sz w:val="22"/>
        </w:rPr>
        <w:t xml:space="preserve">   [Lab 8]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It selects the tool from the tool’s name and description (there are no fixed trigger phrases).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So write a clear, intent-rich description; if two tools overlap, disable the one you are not using so the agent doesn’t pick the wrong one.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Q13. </w:t>
      </w:r>
      <w:r>
        <w:rPr>
          <w:rFonts w:ascii="Arial" w:hAnsi="Arial"/>
          <w:b w:val="0"/>
          <w:color w:val="161B26"/>
          <w:sz w:val="22"/>
        </w:rPr>
        <w:t>Module 4 says good orchestration has “no dead ends.” List the five elements every orchestrated workflow should have.</w:t>
      </w:r>
      <w:r>
        <w:rPr>
          <w:rFonts w:ascii="Arial" w:hAnsi="Arial"/>
          <w:b w:val="0"/>
          <w:color w:val="161B26"/>
          <w:sz w:val="22"/>
        </w:rPr>
        <w:t xml:space="preserve">   [Module 4]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 clear trigger — one starting event.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Sequenced actions — each step’s output feeds the next step’s input.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Branching — conditions route the process (approved vs rejected, high vs low value).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Notifications — the right people are told at the right moments.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A definite end state — the record is updated to its final status (Logged / Approved / Rejected / Completed).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p>
      <w:pPr>
        <w:spacing w:after="40"/>
      </w:pPr>
      <w:r>
        <w:rPr>
          <w:rFonts w:ascii="Arial" w:hAnsi="Arial"/>
          <w:b/>
          <w:color w:val="161B26"/>
          <w:sz w:val="22"/>
        </w:rPr>
        <w:t xml:space="preserve">Q14. </w:t>
      </w:r>
      <w:r>
        <w:rPr>
          <w:rFonts w:ascii="Arial" w:hAnsi="Arial"/>
          <w:b w:val="0"/>
          <w:color w:val="161B26"/>
          <w:sz w:val="22"/>
        </w:rPr>
        <w:t>Name the simple six-step method taught for designing a workflow before you build it.</w:t>
      </w:r>
      <w:r>
        <w:rPr>
          <w:rFonts w:ascii="Arial" w:hAnsi="Arial"/>
          <w:b w:val="0"/>
          <w:color w:val="161B26"/>
          <w:sz w:val="22"/>
        </w:rPr>
        <w:t xml:space="preserve">   [Module 4]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Write the one-sentence summary: “When ___ happens, do ___, then ___, and finally ___.”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Identify the trigger (the “when”); list the actions in order (the “do / then / finally”).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Mark the decision points (where it branches); define each end state (final status + who is notified).</w:t>
      </w:r>
    </w:p>
    <w:p>
      <w:pPr>
        <w:pStyle w:val="ListBullet"/>
        <w:spacing w:after="60"/>
      </w:pPr>
      <w:r>
        <w:rPr>
          <w:rFonts w:ascii="Arial" w:hAnsi="Arial"/>
          <w:b w:val="0"/>
          <w:color w:val="161B26"/>
          <w:sz w:val="22"/>
        </w:rPr>
        <w:t>Build it, test the happy path, then test every branch.</w:t>
      </w:r>
    </w:p>
    <w:p>
      <w:pPr>
        <w:spacing w:after="80"/>
      </w:pPr>
      <w:r>
        <w:rPr>
          <w:rFonts w:ascii="Arial" w:hAnsi="Arial"/>
          <w:b w:val="0"/>
          <w:color w:val="161B26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