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432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q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3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Claude Cowork for Digital Marketing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TGS-2023018659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cantSplit/>
          <w:tblHeader/>
        </w:trPr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37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rPr>
          <w:cantSplit/>
        </w:trPr>
        <w:tc>
          <w:tcPr>
            <w:tcW w:type="dxa" w:w="2437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Legacy reference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Google Tag Manager course reference; superseded by Claude Cowork adaptation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rPr>
          <w:cantSplit/>
        </w:trPr>
        <w:tc>
          <w:tcPr>
            <w:tcW w:type="dxa" w:w="2437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13 September 2026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Rebuilt Claude Cowork marketing course: compatibility, MCP, reusable Skills, validated analytics, draft campaigns and change evidence;14self-contained Activities.</w:t>
            </w:r>
          </w:p>
        </w:tc>
        <w:tc>
          <w:tcPr>
            <w:tcW w:type="dxa" w:w="2437"/>
          </w:tcPr>
          <w:p>
            <w:r/>
            <w:r>
              <w:rPr>
                <w:sz w:val="19"/>
              </w:rP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fldChar w:fldCharType="begin"/>
        <w:instrText xml:space="preserve"> TOC \o "1-1" \h \z \u </w:instrText>
        <w:fldChar w:fldCharType="separate"/>
      </w:r>
      <w:r>
        <w:rPr>
          <w:rFonts w:ascii="Arial" w:hAnsi="Arial"/>
          <w:b/>
          <w:color w:val="333333"/>
          <w:sz w:val="22"/>
        </w:rPr>
        <w:t>Course identity and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and evidence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and moderation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Alignment and release evidence</w:t>
        <w:tab/>
        <w:t>5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identity and outcomes</w:t>
      </w:r>
    </w:p>
    <w:p>
      <w:r>
        <w:t>Claude Cowork for Digital Marketing | TGS-2023018659 | System Integration ICT-DIT-3016-1.1 |16total hours over2days:13.5training hours plus existing WA60minutes and PP90minutes. Public page2hour assessment discrepancy requires administrator reconciliation.</w:t>
      </w:r>
    </w:p>
    <w:p>
      <w:r>
        <w:t>LO1: Conduct compatibility assessments of Claude Cowork interfaces and use integration tools to connect selected marketing components.</w:t>
      </w:r>
    </w:p>
    <w:p>
      <w:r>
        <w:t>LO2: Test selected marketing components and interfaces, identify integration errors and conduct basic troubleshooting.</w:t>
      </w:r>
    </w:p>
    <w:p>
      <w:r>
        <w:t>LO3: Propose changes to the integration plan from observed results and apply versioning and integration best practices.</w:t>
      </w:r>
    </w:p>
    <w:p>
      <w:pPr>
        <w:pStyle w:val="Heading1"/>
      </w:pPr>
      <w:r>
        <w:t>Resources and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  <w:tblHeader/>
        </w:trPr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Resource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PPT v8.0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Mechanisms,editable charts,artifacts and diagnostics; no detailed click paths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LG v8.0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Detailed numbered procedures and source contracts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14Activities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Self-contained mock-data/assets/promptsPDF and acceptance checks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Candidate assessments</w:t>
            </w:r>
          </w:p>
        </w:tc>
        <w:tc>
          <w:tcPr>
            <w:tcW w:type="dxa" w:w="4874"/>
          </w:tcPr>
          <w:p>
            <w:r>
              <w:rPr>
                <w:rFonts w:ascii="Arial" w:hAnsi="Arial"/>
                <w:sz w:val="19"/>
              </w:rPr>
              <w:t>WA7K1–K7 / PP5A1–A5; trainer keys private</w:t>
            </w:r>
          </w:p>
        </w:tc>
      </w:tr>
    </w:tbl>
    <w:p>
      <w:pPr>
        <w:pStyle w:val="Heading1"/>
      </w:pPr>
      <w:r>
        <w:t>Daily schedules</w:t>
      </w:r>
    </w:p>
    <w:p>
      <w:pPr>
        <w:pStyle w:val="Heading2"/>
      </w:pPr>
      <w:r>
        <w:t>Day 1 —480training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cantSplit/>
          <w:tblHeader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Time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Topic / embedded activity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Minutes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PPT slides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09:30–10:00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Administration,attendance,outcomes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1–8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10:00–11:05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Activity01 workspace compatibility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9–22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11:05–12:05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Activity02 brand context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23–36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12:05–13:20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Activity03 MCP compatibility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75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37–50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13:20–14:20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Lunch (excluded)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14:20–15:20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Activity04 tracking contract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51–64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15:20–16:35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Activity05 reusable Skill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75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65–78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16:35–17:40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Activity06 metrics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79–92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17:40–18:30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Activity07 data quality and Day1checkpoint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50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93–108</w:t>
            </w:r>
          </w:p>
        </w:tc>
      </w:tr>
    </w:tbl>
    <w:p>
      <w:r>
        <w:t>Delivery: short mechanism exposition,worked artifact interpretation,independent arithmetic,paired activity and evidence review. Activity time is included in each block. Tea breaks,when used,are counted within the block; lunch is excluded. Daily window09:30–18:30.</w:t>
      </w:r>
    </w:p>
    <w:p>
      <w:pPr>
        <w:pStyle w:val="Heading2"/>
      </w:pPr>
      <w:r>
        <w:t>Day 2 —330training +150assessment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cantSplit/>
          <w:tblHeader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Time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Topic / embedded activity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Minutes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PPT slides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09:30–10:12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Activity08 SEO brief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42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109–122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10:12–10:59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Activity09 lifecycle email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47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123–136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10:59–11:39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Activity10 social assets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40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137–150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11:39–12:24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Activity11 experiment evidence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45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151–164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12:24–13:11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Activity12 regression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47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165–178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13:11–14:11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Lunch (excluded)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14:11–14:53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Activity13 versioning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42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179–192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14:53–15:48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Activity14 integrated portfolio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55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193–206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15:48–16:00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Creative review,recap,feedback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207–220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16:00–17:00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Written Assessment7questionsK1–K7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60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217–218</w:t>
            </w:r>
          </w:p>
        </w:tc>
      </w:tr>
      <w:tr>
        <w:trPr>
          <w:cantSplit/>
        </w:trPr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17:00–18:30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Practical Performance5tasksA1–A5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90</w:t>
            </w:r>
          </w:p>
        </w:tc>
        <w:tc>
          <w:tcPr>
            <w:tcW w:type="dxa" w:w="2437"/>
          </w:tcPr>
          <w:p>
            <w:r>
              <w:rPr>
                <w:rFonts w:ascii="Arial" w:hAnsi="Arial"/>
                <w:sz w:val="19"/>
              </w:rPr>
              <w:t>217–218</w:t>
            </w:r>
          </w:p>
        </w:tc>
      </w:tr>
    </w:tbl>
    <w:p>
      <w:r>
        <w:t>Delivery: short mechanism exposition,worked artifact interpretation,independent arithmetic,paired activity and evidence review. Activity time is included in each block. Tea breaks,when used,are counted within the block; lunch is excluded. Daily window09:30–18:30.</w:t>
      </w:r>
    </w:p>
    <w:p>
      <w:pPr>
        <w:pStyle w:val="Heading1"/>
      </w:pPr>
      <w:r>
        <w:t>Assessment and moderation</w:t>
      </w:r>
    </w:p>
    <w:p>
      <w:r>
        <w:t>Schedule the existing WA60minutes and PP90minutes within Day2 after330training minutes. Across both days training totals810minutes(13.5hours),assessment150minutes(2.5hours),course960minutes(16hours). Confirm approved assessment conditions and candidate papers. Assessment evidence is reviewed by the assessor; practice outputs alone do not establish competence. Keep trainer answer keys in a private destination.</w:t>
      </w:r>
    </w:p>
    <w:p>
      <w:pPr>
        <w:pStyle w:val="Heading1"/>
      </w:pPr>
      <w:r>
        <w:t>Alignment and release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cantSplit/>
          <w:tblHeader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Activity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Learning outcome / mapping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Slide range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LO1 / K1 K2 K3 A1 A2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9–22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LO1 / K1 K2 K3 A1 A2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23–36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LO1 / K2 K3 K4 K5 A1 A2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37–50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LO1 / K2 K3 K4 K5 A1 A2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51–64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LO1 / K2 K3 K4 K5 A1 A2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65–78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 / K4 K5 K6 A3 A4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79–92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 / K4 K5 K6 K7 A3 A4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93–106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 / K4 K5 K6 A3 A4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109–122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 / K4 K5 K6 K7 A3 A4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123–136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 / K4 K5 K6 A3 A4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137–150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 / K4 K5 K6 K7 A3 A4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151–164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LO2 / K5 K6 K7 A3 A4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165–178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LO3 / K7 A5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179–192</w:t>
            </w:r>
          </w:p>
        </w:tc>
      </w:tr>
      <w:tr>
        <w:trPr>
          <w:cantSplit/>
        </w:trPr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LO3 / K1 K2 K3 K4 K5 K6 K7 A1 A2 A3 A4 A5</w:t>
            </w:r>
          </w:p>
        </w:tc>
        <w:tc>
          <w:tcPr>
            <w:tcW w:type="dxa" w:w="3250"/>
          </w:tcPr>
          <w:p>
            <w:r>
              <w:rPr>
                <w:rFonts w:ascii="Arial" w:hAnsi="Arial"/>
                <w:sz w:val="19"/>
              </w:rPr>
              <w:t>193–206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