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FACILITATOR GUIDE</w:t>
      </w:r>
    </w:p>
    <w:p>
      <w:pPr>
        <w:spacing w:after="120"/>
        <w:jc w:val="center"/>
      </w:pPr>
      <w:r>
        <w:rPr>
          <w:rFonts w:ascii="Arial" w:hAnsi="Arial"/>
          <w:b w:val="0"/>
          <w:i w:val="0"/>
          <w:color w:val="444A54"/>
          <w:sz w:val="23"/>
        </w:rPr>
        <w:t>Public edition - assessor keys withheld</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2.3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About This Guide</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Preparing to Deliver</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Daily Lesson Plan</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4">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5">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6">
        <w:r>
          <w:rPr>
            <w:rFonts w:ascii="Arial" w:hAnsi="Arial"/>
            <w:sz w:val="21"/>
            <w:b/>
            <w:color w:val="1F3864"/>
          </w:rPr>
          <w:t xml:space="preserve">4.  Facilitation Notes by Topic</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Topic 1: Foundations of Quant and Algorithmic Trading: From Thorp to AI Agents</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Topic 2: Technical Indicators, Trading Strategies and Metrics with TradingView and Alpaca</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9">
        <w:r>
          <w:rPr>
            <w:rFonts w:ascii="Arial" w:hAnsi="Arial"/>
            <w:sz w:val="19"/>
            <w:color w:val="444A54"/>
          </w:rPr>
          <w:t xml:space="preserve">Topic 3: Machine Learning Models, Statistical Modelling and A/B Testing for Trading Signals</w:t>
        </w:r>
        <w:r>
          <w:tab/>
        </w:r>
        <w:r>
          <w:rPr>
            <w:rFonts w:ascii="Arial" w:hAnsi="Arial"/>
            <w:sz w:val="19"/>
            <w:color w:val="444A54"/>
          </w:rPr>
          <w:fldChar w:fldCharType="begin" w:dirty="true"/>
        </w:r>
        <w:r>
          <w:rPr>
            <w:rFonts w:ascii="Arial" w:hAnsi="Arial"/>
            <w:sz w:val="19"/>
            <w:color w:val="444A54"/>
          </w:rPr>
          <w:instrText xml:space="preserve"> PAGEREF _Toc909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0">
        <w:r>
          <w:rPr>
            <w:rFonts w:ascii="Arial" w:hAnsi="Arial"/>
            <w:sz w:val="19"/>
            <w:color w:val="444A54"/>
          </w:rPr>
          <w:t xml:space="preserve">Topic 4: Building an End-to-End Algorithmic Trading Pipeline: Backtest, Forward Test and Performance Analysis</w:t>
        </w:r>
        <w:r>
          <w:tab/>
        </w:r>
        <w:r>
          <w:rPr>
            <w:rFonts w:ascii="Arial" w:hAnsi="Arial"/>
            <w:sz w:val="19"/>
            <w:color w:val="444A54"/>
          </w:rPr>
          <w:fldChar w:fldCharType="begin" w:dirty="true"/>
        </w:r>
        <w:r>
          <w:rPr>
            <w:rFonts w:ascii="Arial" w:hAnsi="Arial"/>
            <w:sz w:val="19"/>
            <w:color w:val="444A54"/>
          </w:rPr>
          <w:instrText xml:space="preserve"> PAGEREF _Toc910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11">
        <w:r>
          <w:rPr>
            <w:rFonts w:ascii="Arial" w:hAnsi="Arial"/>
            <w:sz w:val="21"/>
            <w:b/>
            <w:color w:val="1F3864"/>
          </w:rPr>
          <w:t xml:space="preserve">5.  Assessment Administration</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2">
        <w:r>
          <w:rPr>
            <w:rFonts w:ascii="Arial" w:hAnsi="Arial"/>
            <w:sz w:val="21"/>
            <w:b/>
            <w:color w:val="1F3864"/>
          </w:rPr>
          <w:t xml:space="preserve">6.  Assessor's Keys</w:t>
        </w:r>
        <w:r>
          <w:tab/>
        </w:r>
        <w:r>
          <w:rPr>
            <w:rFonts w:ascii="Arial" w:hAnsi="Arial"/>
            <w:sz w:val="21"/>
            <w:b/>
            <w:color w:val="1F3864"/>
          </w:rPr>
          <w:fldChar w:fldCharType="begin" w:dirty="true"/>
        </w:r>
        <w:r>
          <w:rPr>
            <w:rFonts w:ascii="Arial" w:hAnsi="Arial"/>
            <w:sz w:val="21"/>
            <w:b/>
            <w:color w:val="1F3864"/>
          </w:rPr>
          <w:instrText xml:space="preserve"> PAGEREF _Toc912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The PP no longer names the colleague's fault in its evidence list or the program settings, and the Assessment Plan's Annex A prints the K-code on every question.</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2.3, effective 22 October 2026.</w:t>
      </w:r>
    </w:p>
    <w:p>
      <w:bookmarkStart w:id="902" w:name="_Toc901"/>
      <w:pPr>
        <w:pStyle w:val="Heading1"/>
        <w:pageBreakBefore/>
      </w:pPr>
      <w:r>
        <w:t>1.  About This Guide</w:t>
      </w:r>
      <w:bookmarkEnd w:id="902"/>
    </w:p>
    <w:p>
      <w:pPr>
        <w:spacing w:after="120"/>
      </w:pPr>
      <w:r>
        <w:rPr>
          <w:rFonts w:ascii="Arial" w:hAnsi="Arial"/>
          <w:b w:val="0"/>
          <w:i w:val="0"/>
          <w:color w:val="444A54"/>
          <w:sz w:val="22"/>
        </w:rPr>
        <w:t>This public edition of the Facilitator Guide omits the assessor's keys. This Facilitator Guide supports the trainer and assessor in delivering Machine Learning 101 for Financial Trading. It sets out the course information, the daily lesson plan with slide references, facilitation notes and timing cues for every topic and lab, the administration of the assessment and its timings. The assessor's keys, model answers and rubric are held in the trainer-only full edition and the Assessment Plan.</w:t>
      </w:r>
    </w:p>
    <w:tbl>
      <w:tblPr>
        <w:tblStyle w:val="TableGrid"/>
        <w:tblW w:type="auto" w:w="0"/>
        <w:jc w:val="center"/>
        <w:tblLook w:firstColumn="1" w:firstRow="1" w:lastColumn="0" w:lastRow="0" w:noHBand="0" w:noVBand="1" w:val="04A0"/>
        <w:tblLayout w:type="fixed"/>
      </w:tblPr>
      <w:tblGrid>
        <w:gridCol w:w="2592"/>
        <w:gridCol w:w="7632"/>
      </w:tblGrid>
      <w:tr>
        <w:trPr>
          <w:tblHeader w:val="true"/>
        </w:trPr>
        <w:tc>
          <w:tcPr>
            <w:tcW w:type="dxa" w:w="2592"/>
            <w:shd w:val="clear" w:fill="1F3864"/>
          </w:tcPr>
          <w:p>
            <w:pPr>
              <w:spacing w:after="40" w:before="40" w:line="252" w:lineRule="auto"/>
              <w:jc w:val="center"/>
            </w:pPr>
            <w:r/>
            <w:r>
              <w:rPr>
                <w:rFonts w:ascii="Arial" w:hAnsi="Arial"/>
                <w:b/>
                <w:color w:val="FFFFFF"/>
                <w:sz w:val="20"/>
              </w:rPr>
              <w:t>Item</w:t>
            </w:r>
          </w:p>
        </w:tc>
        <w:tc>
          <w:tcPr>
            <w:tcW w:type="dxa" w:w="7632"/>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592"/>
            <w:shd w:val="clear" w:fill="F2F5FA"/>
          </w:tcPr>
          <w:p>
            <w:pPr>
              <w:spacing w:after="40" w:before="40" w:line="252" w:lineRule="auto"/>
            </w:pPr>
            <w:r/>
            <w:r>
              <w:rPr>
                <w:rFonts w:ascii="Arial" w:hAnsi="Arial"/>
                <w:b w:val="0"/>
                <w:color w:val="444A54"/>
                <w:sz w:val="20"/>
              </w:rPr>
              <w:t>Course Title</w:t>
            </w:r>
          </w:p>
        </w:tc>
        <w:tc>
          <w:tcPr>
            <w:tcW w:type="dxa" w:w="7632"/>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592"/>
          </w:tcPr>
          <w:p>
            <w:pPr>
              <w:spacing w:after="40" w:before="40" w:line="252" w:lineRule="auto"/>
            </w:pPr>
            <w:r/>
            <w:r>
              <w:rPr>
                <w:rFonts w:ascii="Arial" w:hAnsi="Arial"/>
                <w:b w:val="0"/>
                <w:color w:val="444A54"/>
                <w:sz w:val="20"/>
              </w:rPr>
              <w:t>TSC Code and Title</w:t>
            </w:r>
          </w:p>
        </w:tc>
        <w:tc>
          <w:tcPr>
            <w:tcW w:type="dxa" w:w="7632"/>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592"/>
            <w:shd w:val="clear" w:fill="F2F5FA"/>
          </w:tcPr>
          <w:p>
            <w:pPr>
              <w:spacing w:after="40" w:before="40" w:line="252" w:lineRule="auto"/>
            </w:pPr>
            <w:r/>
            <w:r>
              <w:rPr>
                <w:rFonts w:ascii="Arial" w:hAnsi="Arial"/>
                <w:b w:val="0"/>
                <w:color w:val="444A54"/>
                <w:sz w:val="20"/>
              </w:rPr>
              <w:t>Proficiency Level</w:t>
            </w:r>
          </w:p>
        </w:tc>
        <w:tc>
          <w:tcPr>
            <w:tcW w:type="dxa" w:w="7632"/>
            <w:shd w:val="clear" w:fill="F2F5FA"/>
          </w:tcPr>
          <w:p>
            <w:pPr>
              <w:spacing w:after="40" w:before="40" w:line="252" w:lineRule="auto"/>
            </w:pPr>
            <w:r/>
            <w:r>
              <w:rPr>
                <w:rFonts w:ascii="Arial" w:hAnsi="Arial"/>
                <w:b w:val="0"/>
                <w:color w:val="444A54"/>
                <w:sz w:val="20"/>
              </w:rPr>
              <w:t>3 - Identify and utilise appropriate statistical algorithms and data models to perform data analyses, test hypotheses and derive inferences, patterns or solutions from data</w:t>
            </w:r>
          </w:p>
        </w:tc>
      </w:tr>
      <w:tr>
        <w:trPr>
          <w:cantSplit w:val="true"/>
        </w:trPr>
        <w:tc>
          <w:tcPr>
            <w:tcW w:type="dxa" w:w="2592"/>
          </w:tcPr>
          <w:p>
            <w:pPr>
              <w:spacing w:after="40" w:before="40" w:line="252" w:lineRule="auto"/>
            </w:pPr>
            <w:r/>
            <w:r>
              <w:rPr>
                <w:rFonts w:ascii="Arial" w:hAnsi="Arial"/>
                <w:b w:val="0"/>
                <w:color w:val="444A54"/>
                <w:sz w:val="20"/>
              </w:rPr>
              <w:t>Course Duration</w:t>
            </w:r>
          </w:p>
        </w:tc>
        <w:tc>
          <w:tcPr>
            <w:tcW w:type="dxa" w:w="7632"/>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592"/>
            <w:shd w:val="clear" w:fill="F2F5FA"/>
          </w:tcPr>
          <w:p>
            <w:pPr>
              <w:spacing w:after="40" w:before="40" w:line="252" w:lineRule="auto"/>
            </w:pPr>
            <w:r/>
            <w:r>
              <w:rPr>
                <w:rFonts w:ascii="Arial" w:hAnsi="Arial"/>
                <w:b w:val="0"/>
                <w:color w:val="444A54"/>
                <w:sz w:val="20"/>
              </w:rPr>
              <w:t>Daily Schedule</w:t>
            </w:r>
          </w:p>
        </w:tc>
        <w:tc>
          <w:tcPr>
            <w:tcW w:type="dxa" w:w="7632"/>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592"/>
          </w:tcPr>
          <w:p>
            <w:pPr>
              <w:spacing w:after="40" w:before="40" w:line="252" w:lineRule="auto"/>
            </w:pPr>
            <w:r/>
            <w:r>
              <w:rPr>
                <w:rFonts w:ascii="Arial" w:hAnsi="Arial"/>
                <w:b w:val="0"/>
                <w:color w:val="444A54"/>
                <w:sz w:val="20"/>
              </w:rPr>
              <w:t>Mode of Delivery</w:t>
            </w:r>
          </w:p>
        </w:tc>
        <w:tc>
          <w:tcPr>
            <w:tcW w:type="dxa" w:w="7632"/>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the low-code Trading Simulator</w:t>
            </w:r>
          </w:p>
        </w:tc>
      </w:tr>
      <w:tr>
        <w:trPr>
          <w:cantSplit w:val="true"/>
        </w:trPr>
        <w:tc>
          <w:tcPr>
            <w:tcW w:type="dxa" w:w="2592"/>
            <w:shd w:val="clear" w:fill="F2F5FA"/>
          </w:tcPr>
          <w:p>
            <w:pPr>
              <w:spacing w:after="40" w:before="40" w:line="252" w:lineRule="auto"/>
            </w:pPr>
            <w:r/>
            <w:r>
              <w:rPr>
                <w:rFonts w:ascii="Arial" w:hAnsi="Arial"/>
                <w:b w:val="0"/>
                <w:color w:val="444A54"/>
                <w:sz w:val="20"/>
              </w:rPr>
              <w:t>Class Size / Ratio</w:t>
            </w:r>
          </w:p>
        </w:tc>
        <w:tc>
          <w:tcPr>
            <w:tcW w:type="dxa" w:w="7632"/>
            <w:shd w:val="clear" w:fill="F2F5FA"/>
          </w:tcPr>
          <w:p>
            <w:pPr>
              <w:spacing w:after="40" w:before="40" w:line="252" w:lineRule="auto"/>
            </w:pPr>
            <w:r/>
            <w:r>
              <w:rPr>
                <w:rFonts w:ascii="Arial" w:hAnsi="Arial"/>
                <w:b w:val="0"/>
                <w:color w:val="444A54"/>
                <w:sz w:val="20"/>
              </w:rPr>
              <w:t>Optimum class size of 20 participants (maximum 20)  |  Trainer : learner 1 : 20</w:t>
            </w:r>
          </w:p>
        </w:tc>
      </w:tr>
      <w:tr>
        <w:trPr>
          <w:cantSplit w:val="true"/>
        </w:trPr>
        <w:tc>
          <w:tcPr>
            <w:tcW w:type="dxa" w:w="2592"/>
          </w:tcPr>
          <w:p>
            <w:pPr>
              <w:spacing w:after="40" w:before="40" w:line="252" w:lineRule="auto"/>
            </w:pPr>
            <w:r/>
            <w:r>
              <w:rPr>
                <w:rFonts w:ascii="Arial" w:hAnsi="Arial"/>
                <w:b w:val="0"/>
                <w:color w:val="444A54"/>
                <w:sz w:val="20"/>
              </w:rPr>
              <w:t>Assessment</w:t>
            </w:r>
          </w:p>
        </w:tc>
        <w:tc>
          <w:tcPr>
            <w:tcW w:type="dxa" w:w="7632"/>
          </w:tcPr>
          <w:p>
            <w:pPr>
              <w:spacing w:after="40" w:before="40" w:line="252" w:lineRule="auto"/>
            </w:pPr>
            <w:r/>
            <w:r>
              <w:rPr>
                <w:rFonts w:ascii="Arial" w:hAnsi="Arial"/>
                <w:b w:val="0"/>
                <w:color w:val="444A54"/>
                <w:sz w:val="20"/>
              </w:rPr>
              <w:t>Written Assessment (45 min, K1-K9)  |  Practical Performance (75 min, A1-A10)</w:t>
            </w:r>
          </w:p>
        </w:tc>
      </w:tr>
      <w:tr>
        <w:trPr>
          <w:cantSplit w:val="true"/>
        </w:trPr>
        <w:tc>
          <w:tcPr>
            <w:tcW w:type="dxa" w:w="2592"/>
            <w:shd w:val="clear" w:fill="F2F5FA"/>
          </w:tcPr>
          <w:p>
            <w:pPr>
              <w:spacing w:after="40" w:before="40" w:line="252" w:lineRule="auto"/>
            </w:pPr>
            <w:r/>
            <w:r>
              <w:rPr>
                <w:rFonts w:ascii="Arial" w:hAnsi="Arial"/>
                <w:b w:val="0"/>
                <w:color w:val="444A54"/>
                <w:sz w:val="20"/>
              </w:rPr>
              <w:t>Funding</w:t>
            </w:r>
          </w:p>
        </w:tc>
        <w:tc>
          <w:tcPr>
            <w:tcW w:type="dxa" w:w="7632"/>
            <w:shd w:val="clear" w:fill="F2F5FA"/>
          </w:tcPr>
          <w:p>
            <w:pPr>
              <w:spacing w:after="40" w:before="40" w:line="252" w:lineRule="auto"/>
            </w:pPr>
            <w:r/>
            <w:r>
              <w:rPr>
                <w:rFonts w:ascii="Arial" w:hAnsi="Arial"/>
                <w:b w:val="0"/>
                <w:color w:val="444A54"/>
                <w:sz w:val="20"/>
              </w:rPr>
              <w:t>IBF Standards Training Scheme (IBF-STS), subject to eligibility; at least 75% attendance and passing the assessment are required</w:t>
            </w:r>
          </w:p>
        </w:tc>
      </w:tr>
      <w:tr>
        <w:trPr>
          <w:cantSplit w:val="true"/>
        </w:trPr>
        <w:tc>
          <w:tcPr>
            <w:tcW w:type="dxa" w:w="2592"/>
          </w:tcPr>
          <w:p>
            <w:pPr>
              <w:spacing w:after="40" w:before="40" w:line="252" w:lineRule="auto"/>
            </w:pPr>
            <w:r/>
            <w:r>
              <w:rPr>
                <w:rFonts w:ascii="Arial" w:hAnsi="Arial"/>
                <w:b w:val="0"/>
                <w:color w:val="444A54"/>
                <w:sz w:val="20"/>
              </w:rPr>
              <w:t>Companion documents</w:t>
            </w:r>
          </w:p>
        </w:tc>
        <w:tc>
          <w:tcPr>
            <w:tcW w:type="dxa" w:w="7632"/>
          </w:tcPr>
          <w:p>
            <w:pPr>
              <w:spacing w:after="40" w:before="40" w:line="252" w:lineRule="auto"/>
            </w:pPr>
            <w:r/>
            <w:r>
              <w:rPr>
                <w:rFonts w:ascii="Arial" w:hAnsi="Arial"/>
                <w:b w:val="0"/>
                <w:color w:val="444A54"/>
                <w:sz w:val="20"/>
              </w:rPr>
              <w:t>Lesson Plan, Trainer Slides, Learner Guide, Assessment Plan, Assessment Rubric, lab folder (labs)</w:t>
            </w:r>
          </w:p>
        </w:tc>
      </w:tr>
    </w:tbl>
    <w:p>
      <w:pPr>
        <w:spacing w:after="120"/>
      </w:pPr>
      <w:r>
        <w:rPr>
          <w:rFonts w:ascii="Arial" w:hAnsi="Arial"/>
          <w:b/>
          <w:i w:val="0"/>
          <w:color w:val="1F3864"/>
          <w:sz w:val="23"/>
        </w:rPr>
        <w:t>Learning outcomes</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19"/>
              </w:rPr>
              <w:t>LO</w:t>
            </w:r>
          </w:p>
        </w:tc>
        <w:tc>
          <w:tcPr>
            <w:tcW w:type="dxa" w:w="7632"/>
            <w:shd w:val="clear" w:fill="1F3864"/>
          </w:tcPr>
          <w:p>
            <w:pPr>
              <w:keepNext/>
              <w:spacing w:after="40" w:before="40" w:line="252" w:lineRule="auto"/>
              <w:jc w:val="center"/>
            </w:pPr>
            <w:r/>
            <w:r>
              <w:rPr>
                <w:rFonts w:ascii="Arial" w:hAnsi="Arial"/>
                <w:b/>
                <w:color w:val="FFFFFF"/>
                <w:sz w:val="19"/>
              </w:rPr>
              <w:t>Learning Outcome</w:t>
            </w:r>
          </w:p>
        </w:tc>
        <w:tc>
          <w:tcPr>
            <w:tcW w:type="dxa" w:w="1728"/>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LO1</w:t>
            </w:r>
          </w:p>
        </w:tc>
        <w:tc>
          <w:tcPr>
            <w:tcW w:type="dxa" w:w="7632"/>
            <w:shd w:val="clear" w:fill="F2F5FA"/>
          </w:tcPr>
          <w:p>
            <w:pPr>
              <w:keepNext/>
              <w:spacing w:after="40" w:before="40" w:line="252" w:lineRule="auto"/>
            </w:pPr>
            <w:r/>
            <w:r>
              <w:rPr>
                <w:rFonts w:ascii="Arial" w:hAnsi="Arial"/>
                <w:b w:val="0"/>
                <w:color w:val="444A54"/>
                <w:sz w:val="19"/>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864"/>
          </w:tcPr>
          <w:p>
            <w:pPr>
              <w:keepNext/>
              <w:spacing w:after="40" w:before="40" w:line="252" w:lineRule="auto"/>
              <w:jc w:val="center"/>
            </w:pPr>
            <w:r/>
            <w:r>
              <w:rPr>
                <w:rFonts w:ascii="Arial" w:hAnsi="Arial"/>
                <w:b w:val="0"/>
                <w:color w:val="444A54"/>
                <w:sz w:val="19"/>
              </w:rPr>
              <w:t>LO2</w:t>
            </w:r>
          </w:p>
        </w:tc>
        <w:tc>
          <w:tcPr>
            <w:tcW w:type="dxa" w:w="7632"/>
          </w:tcPr>
          <w:p>
            <w:pPr>
              <w:keepNext/>
              <w:spacing w:after="40" w:before="40" w:line="252" w:lineRule="auto"/>
            </w:pPr>
            <w:r/>
            <w:r>
              <w:rPr>
                <w:rFonts w:ascii="Arial" w:hAnsi="Arial"/>
                <w:b w:val="0"/>
                <w:color w:val="444A54"/>
                <w:sz w:val="19"/>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19"/>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LO3</w:t>
            </w:r>
          </w:p>
        </w:tc>
        <w:tc>
          <w:tcPr>
            <w:tcW w:type="dxa" w:w="7632"/>
            <w:shd w:val="clear" w:fill="F2F5FA"/>
          </w:tcPr>
          <w:p>
            <w:pPr>
              <w:keepNext/>
              <w:spacing w:after="40" w:before="40" w:line="252" w:lineRule="auto"/>
            </w:pPr>
            <w:r/>
            <w:r>
              <w:rPr>
                <w:rFonts w:ascii="Arial" w:hAnsi="Arial"/>
                <w:b w:val="0"/>
                <w:color w:val="444A54"/>
                <w:sz w:val="19"/>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864"/>
          </w:tcPr>
          <w:p>
            <w:pPr>
              <w:spacing w:after="40" w:before="40" w:line="252" w:lineRule="auto"/>
              <w:jc w:val="center"/>
            </w:pPr>
            <w:r/>
            <w:r>
              <w:rPr>
                <w:rFonts w:ascii="Arial" w:hAnsi="Arial"/>
                <w:b w:val="0"/>
                <w:color w:val="444A54"/>
                <w:sz w:val="19"/>
              </w:rPr>
              <w:t>LO4</w:t>
            </w:r>
          </w:p>
        </w:tc>
        <w:tc>
          <w:tcPr>
            <w:tcW w:type="dxa" w:w="7632"/>
          </w:tcPr>
          <w:p>
            <w:pPr>
              <w:spacing w:after="40" w:before="40" w:line="252" w:lineRule="auto"/>
            </w:pPr>
            <w:r/>
            <w:r>
              <w:rPr>
                <w:rFonts w:ascii="Arial" w:hAnsi="Arial"/>
                <w:b w:val="0"/>
                <w:color w:val="444A54"/>
                <w:sz w:val="19"/>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19"/>
              </w:rPr>
              <w:t>A7, A8, A9, A10, K7, K8</w:t>
            </w:r>
          </w:p>
        </w:tc>
      </w:tr>
    </w:tbl>
    <w:p>
      <w:bookmarkStart w:id="903" w:name="_Toc902"/>
      <w:pPr>
        <w:pStyle w:val="Heading1"/>
      </w:pPr>
      <w:r>
        <w:t>2.  Preparing to Deliver</w:t>
      </w:r>
      <w:bookmarkEnd w:id="903"/>
    </w:p>
    <w:p>
      <w:pPr>
        <w:spacing w:after="120"/>
      </w:pPr>
      <w:r>
        <w:rPr>
          <w:rFonts w:ascii="Arial" w:hAnsi="Arial"/>
          <w:b/>
          <w:i w:val="0"/>
          <w:color w:val="1F3864"/>
          <w:sz w:val="23"/>
        </w:rPr>
        <w:t>Two weeks before the class</w:t>
      </w:r>
    </w:p>
    <w:p>
      <w:pPr>
        <w:pStyle w:val="ListBullet"/>
        <w:spacing w:after="60"/>
        <w:ind w:left="432"/>
      </w:pPr>
      <w:r>
        <w:rPr>
          <w:rFonts w:ascii="Arial" w:hAnsi="Arial"/>
          <w:color w:val="444A54"/>
          <w:sz w:val="22"/>
        </w:rPr>
        <w:t>Send the joining instructions: bring a laptop with the Trading Simulator installed (Learner Guide setup guide), create a free Alpaca account and a free TradingView account in advance if possible.</w:t>
      </w:r>
    </w:p>
    <w:p>
      <w:pPr>
        <w:pStyle w:val="ListBullet"/>
        <w:spacing w:after="60"/>
        <w:ind w:left="432"/>
      </w:pPr>
      <w:r>
        <w:rPr>
          <w:rFonts w:ascii="Arial" w:hAnsi="Arial"/>
          <w:color w:val="444A54"/>
          <w:sz w:val="22"/>
        </w:rPr>
        <w:t>Confirm the venue network allows outbound HTTPS to paper-api.alpaca.markets, data.alpaca.markets and tradingview.com. If it does not, plan to run every lab in offline mode - the bundled data and simulator make this seamless.</w:t>
      </w:r>
    </w:p>
    <w:p>
      <w:pPr>
        <w:pStyle w:val="ListBullet"/>
        <w:spacing w:after="60"/>
        <w:ind w:left="432"/>
      </w:pPr>
      <w:r>
        <w:rPr>
          <w:rFonts w:ascii="Arial" w:hAnsi="Arial"/>
          <w:color w:val="444A54"/>
          <w:sz w:val="22"/>
        </w:rPr>
        <w:t>Install the Trading Simulator on the trainer laptop and run every lab once on its Course Labs page (install steps: Learner Guide and labs_lowcode/Lab01-alpaca-setup/Lab01_Instructions.pdf). Each lab folder holds its LabNN_Instructions.pdf with the simulator steps and checks.</w:t>
      </w:r>
    </w:p>
    <w:p>
      <w:pPr>
        <w:spacing w:after="120"/>
      </w:pPr>
      <w:r>
        <w:rPr>
          <w:rFonts w:ascii="Arial" w:hAnsi="Arial"/>
          <w:b/>
          <w:i w:val="0"/>
          <w:color w:val="1F3864"/>
          <w:sz w:val="23"/>
        </w:rPr>
        <w:t>On the day</w:t>
      </w:r>
    </w:p>
    <w:p>
      <w:pPr>
        <w:pStyle w:val="ListBullet"/>
        <w:spacing w:after="60"/>
        <w:ind w:left="432"/>
      </w:pPr>
      <w:r>
        <w:rPr>
          <w:rFonts w:ascii="Arial" w:hAnsi="Arial"/>
          <w:color w:val="444A54"/>
          <w:sz w:val="22"/>
        </w:rPr>
        <w:t>Check that every learner's Trading Simulator opens at http://localhost:8000 before Lab 1.</w:t>
      </w:r>
    </w:p>
    <w:p>
      <w:pPr>
        <w:pStyle w:val="ListBullet"/>
        <w:spacing w:after="60"/>
        <w:ind w:left="432"/>
      </w:pPr>
      <w:r>
        <w:rPr>
          <w:rFonts w:ascii="Arial" w:hAnsi="Arial"/>
          <w:color w:val="444A54"/>
          <w:sz w:val="22"/>
        </w:rPr>
        <w:t>Log in to the trainer Alpaca paper account and TradingView for live demonstrations; never use a live-money account.</w:t>
      </w:r>
    </w:p>
    <w:p>
      <w:pPr>
        <w:pStyle w:val="ListBullet"/>
        <w:spacing w:after="60"/>
        <w:ind w:left="432"/>
      </w:pPr>
      <w:r>
        <w:rPr>
          <w:rFonts w:ascii="Arial" w:hAnsi="Arial"/>
          <w:color w:val="444A54"/>
          <w:sz w:val="22"/>
        </w:rPr>
        <w:t>Have the Learner Guide open at the setup section; most first-hour issues are simulator installation issues, not course content.</w:t>
      </w:r>
    </w:p>
    <w:p>
      <w:pPr>
        <w:pStyle w:val="ListBullet"/>
        <w:spacing w:after="60"/>
        <w:ind w:left="432"/>
      </w:pPr>
      <w:r>
        <w:rPr>
          <w:rFonts w:ascii="Arial" w:hAnsi="Arial"/>
          <w:color w:val="444A54"/>
          <w:sz w:val="22"/>
        </w:rPr>
        <w:t>Prepare the attendance sheet for each session and the assessment attendance record.</w:t>
      </w:r>
    </w:p>
    <w:p>
      <w:pPr>
        <w:spacing w:after="120"/>
      </w:pPr>
      <w:r>
        <w:rPr>
          <w:rFonts w:ascii="Arial" w:hAnsi="Arial"/>
          <w:b/>
          <w:i w:val="0"/>
          <w:color w:val="1F3864"/>
          <w:sz w:val="23"/>
        </w:rPr>
        <w:t>Safety and conduct messages to repeat</w:t>
      </w:r>
    </w:p>
    <w:p>
      <w:pPr>
        <w:pStyle w:val="ListBullet"/>
        <w:spacing w:after="60"/>
        <w:ind w:left="432"/>
      </w:pPr>
      <w:r>
        <w:rPr>
          <w:rFonts w:ascii="Arial" w:hAnsi="Arial"/>
          <w:color w:val="444A54"/>
          <w:sz w:val="22"/>
        </w:rPr>
        <w:t>Paper trading only; no real money at any point.</w:t>
      </w:r>
    </w:p>
    <w:p>
      <w:pPr>
        <w:pStyle w:val="ListBullet"/>
        <w:spacing w:after="60"/>
        <w:ind w:left="432"/>
      </w:pPr>
      <w:r>
        <w:rPr>
          <w:rFonts w:ascii="Arial" w:hAnsi="Arial"/>
          <w:color w:val="444A54"/>
          <w:sz w:val="22"/>
        </w:rPr>
        <w:t>Lion City Capital and every scenario in these materials are fictitious and for training only. All trading in this course is paper (simulated) trading. Nothing in these materials is investment advice or a recommendation to trade any security.</w:t>
      </w:r>
    </w:p>
    <w:p>
      <w:pPr>
        <w:pStyle w:val="ListBullet"/>
        <w:spacing w:after="60"/>
        <w:ind w:left="432"/>
      </w:pPr>
      <w:r>
        <w:rPr>
          <w:rFonts w:ascii="Arial" w:hAnsi="Arial"/>
          <w:color w:val="444A54"/>
          <w:sz w:val="22"/>
        </w:rPr>
        <w:t>API keys are credentials: never put them on a slide, in a chat, or in a file that is shared.</w:t>
      </w:r>
    </w:p>
    <w:p>
      <w:pPr>
        <w:sectPr>
          <w:footerReference w:type="default" r:id="rId9"/>
          <w:pgSz w:w="12240" w:h="15840"/>
          <w:pgMar w:top="1152" w:right="1224" w:bottom="1296" w:left="1224" w:header="720" w:footer="720" w:gutter="0"/>
          <w:cols w:space="720"/>
          <w:docGrid w:linePitch="360"/>
        </w:sectPr>
      </w:pPr>
    </w:p>
    <w:p>
      <w:bookmarkStart w:id="904" w:name="_Toc903"/>
      <w:pPr>
        <w:pStyle w:val="Heading1"/>
      </w:pPr>
      <w:r>
        <w:t>3.  Daily Lesson Plan</w:t>
      </w:r>
      <w:bookmarkEnd w:id="904"/>
    </w:p>
    <w:p>
      <w:pPr>
        <w:spacing w:after="120"/>
      </w:pPr>
      <w:r>
        <w:rPr>
          <w:rFonts w:ascii="Arial" w:hAnsi="Arial"/>
          <w:b w:val="0"/>
          <w:i w:val="0"/>
          <w:color w:val="444A54"/>
          <w:sz w:val="22"/>
        </w:rPr>
        <w:t>Identical to the Lesson Plan; the Slides column is read from the built deck.</w:t>
      </w:r>
    </w:p>
    <w:p>
      <w:bookmarkStart w:id="905" w:name="_Toc904"/>
      <w:pPr>
        <w:pStyle w:val="Heading2"/>
      </w:pPr>
      <w:r>
        <w:t>Day 1</w:t>
      </w:r>
      <w:bookmarkEnd w:id="905"/>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Course Overview, Trainer Introduction and Ground Rules</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1-34</w:t>
            </w:r>
          </w:p>
        </w:tc>
      </w:tr>
      <w:tr>
        <w:trPr>
          <w:cantSplit w:val="true"/>
        </w:trPr>
        <w:tc>
          <w:tcPr>
            <w:tcW w:type="dxa" w:w="1584"/>
          </w:tcPr>
          <w:p>
            <w:pPr>
              <w:spacing w:after="40" w:before="40" w:line="252" w:lineRule="auto"/>
              <w:jc w:val="center"/>
            </w:pPr>
            <w:r/>
            <w:r>
              <w:rPr>
                <w:rFonts w:ascii="Arial" w:hAnsi="Arial"/>
                <w:b w:val="0"/>
                <w:color w:val="444A54"/>
                <w:sz w:val="17"/>
              </w:rPr>
              <w:t>09:30 - 10:45</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T1.1-1.4 Quant Success Stories, the Evolution of Quant, the ML-to-LLM Shift, and Agentic AI versus AI Agents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K1, K9</w:t>
            </w:r>
          </w:p>
        </w:tc>
        <w:tc>
          <w:tcPr>
            <w:tcW w:type="dxa" w:w="1152"/>
          </w:tcPr>
          <w:p>
            <w:pPr>
              <w:spacing w:after="40" w:before="40" w:line="252" w:lineRule="auto"/>
              <w:jc w:val="center"/>
            </w:pPr>
            <w:r/>
            <w:r>
              <w:rPr>
                <w:rFonts w:ascii="Arial" w:hAnsi="Arial"/>
                <w:b w:val="0"/>
                <w:color w:val="444A54"/>
                <w:sz w:val="17"/>
              </w:rPr>
              <w:t>36-58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10:45 - 11:00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11:00 - 11:30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T1.5-1.6 Forms of Financial Data, Big Data Applications and Trading Hypotheses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A1, A6, K1, K9</w:t>
            </w:r>
          </w:p>
        </w:tc>
        <w:tc>
          <w:tcPr>
            <w:tcW w:type="dxa" w:w="1152"/>
          </w:tcPr>
          <w:p>
            <w:pPr>
              <w:spacing w:after="40" w:before="40" w:line="252" w:lineRule="auto"/>
              <w:jc w:val="center"/>
            </w:pPr>
            <w:r/>
            <w:r>
              <w:rPr>
                <w:rFonts w:ascii="Arial" w:hAnsi="Arial"/>
                <w:b w:val="0"/>
                <w:color w:val="444A54"/>
                <w:sz w:val="17"/>
              </w:rPr>
              <w:t>59-66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11:30 - 11:50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 Pipeline Skeleton, Configuration and the Alpaca Paper Account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K5</w:t>
            </w:r>
          </w:p>
        </w:tc>
        <w:tc>
          <w:tcPr>
            <w:tcW w:type="dxa" w:w="1152"/>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1584"/>
          </w:tcPr>
          <w:p>
            <w:pPr>
              <w:spacing w:after="40" w:before="40" w:line="252" w:lineRule="auto"/>
              <w:jc w:val="center"/>
            </w:pPr>
            <w:r/>
            <w:r>
              <w:rPr>
                <w:rFonts w:ascii="Arial" w:hAnsi="Arial"/>
                <w:b w:val="0"/>
                <w:color w:val="444A54"/>
                <w:sz w:val="17"/>
              </w:rPr>
              <w:t>11:50 - 12:10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 Data-Validation Stage: Cross-Check Pipeline Bars against TradingView</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A3, K5, K9</w:t>
            </w:r>
          </w:p>
        </w:tc>
        <w:tc>
          <w:tcPr>
            <w:tcW w:type="dxa" w:w="1152"/>
          </w:tcPr>
          <w:p>
            <w:pPr>
              <w:spacing w:after="40" w:before="40" w:line="252" w:lineRule="auto"/>
              <w:jc w:val="center"/>
            </w:pPr>
            <w:r/>
            <w:r>
              <w:rPr>
                <w:rFonts w:ascii="Arial" w:hAnsi="Arial"/>
                <w:b w:val="0"/>
                <w:color w:val="444A54"/>
                <w:sz w:val="17"/>
              </w:rPr>
              <w:t>69</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12:10 - 12:30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3: Ingestion Stage: Multi-Timeframe Bars, Headlines and Data Quality</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A6, K9</w:t>
            </w:r>
          </w:p>
        </w:tc>
        <w:tc>
          <w:tcPr>
            <w:tcW w:type="dxa" w:w="1152"/>
            <w:shd w:val="clear" w:fill="F2F5FA"/>
          </w:tcPr>
          <w:p>
            <w:pPr>
              <w:spacing w:after="40" w:before="40" w:line="252" w:lineRule="auto"/>
              <w:jc w:val="center"/>
            </w:pPr>
            <w:r/>
            <w:r>
              <w:rPr>
                <w:rFonts w:ascii="Arial" w:hAnsi="Arial"/>
                <w:b w:val="0"/>
                <w:color w:val="444A54"/>
                <w:sz w:val="17"/>
              </w:rPr>
              <w:t>71</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13:30 - 13:45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4: Hypothesis Stage: from a Written Card to an Automated Statistical Test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A1, A6, K1</w:t>
            </w:r>
          </w:p>
        </w:tc>
        <w:tc>
          <w:tcPr>
            <w:tcW w:type="dxa" w:w="1152"/>
            <w:shd w:val="clear" w:fill="F2F5FA"/>
          </w:tcPr>
          <w:p>
            <w:pPr>
              <w:spacing w:after="40" w:before="40" w:line="252" w:lineRule="auto"/>
              <w:jc w:val="center"/>
            </w:pPr>
            <w:r/>
            <w:r>
              <w:rPr>
                <w:rFonts w:ascii="Arial" w:hAnsi="Arial"/>
                <w:b w:val="0"/>
                <w:color w:val="444A54"/>
                <w:sz w:val="17"/>
              </w:rPr>
              <w:t>74</w:t>
            </w:r>
          </w:p>
        </w:tc>
      </w:tr>
      <w:tr>
        <w:trPr>
          <w:cantSplit w:val="true"/>
        </w:trPr>
        <w:tc>
          <w:tcPr>
            <w:tcW w:type="dxa" w:w="1584"/>
          </w:tcPr>
          <w:p>
            <w:pPr>
              <w:spacing w:after="40" w:before="40" w:line="252" w:lineRule="auto"/>
              <w:jc w:val="center"/>
            </w:pPr>
            <w:r/>
            <w:r>
              <w:rPr>
                <w:rFonts w:ascii="Arial" w:hAnsi="Arial"/>
                <w:b w:val="0"/>
                <w:color w:val="444A54"/>
                <w:sz w:val="17"/>
              </w:rPr>
              <w:t>13:45 - 14:30</w:t>
            </w:r>
          </w:p>
        </w:tc>
        <w:tc>
          <w:tcPr>
            <w:tcW w:type="dxa" w:w="1152"/>
          </w:tcPr>
          <w:p>
            <w:pPr>
              <w:spacing w:after="40" w:before="40" w:line="252" w:lineRule="auto"/>
              <w:jc w:val="center"/>
            </w:pPr>
            <w:r/>
            <w:r>
              <w:rPr>
                <w:rFonts w:ascii="Arial" w:hAnsi="Arial"/>
                <w:b w:val="0"/>
                <w:color w:val="444A54"/>
                <w:sz w:val="17"/>
              </w:rPr>
              <w:t>45 min</w:t>
            </w:r>
          </w:p>
        </w:tc>
        <w:tc>
          <w:tcPr>
            <w:tcW w:type="dxa" w:w="7200"/>
          </w:tcPr>
          <w:p>
            <w:pPr>
              <w:spacing w:after="40" w:before="40" w:line="252" w:lineRule="auto"/>
            </w:pPr>
            <w:r/>
            <w:r>
              <w:rPr>
                <w:rFonts w:ascii="Arial" w:hAnsi="Arial"/>
                <w:b w:val="0"/>
                <w:color w:val="444A54"/>
                <w:sz w:val="17"/>
              </w:rPr>
              <w:t>T2.1-2.2 Technical Indicators and Standard Algorithmic Trading Strategies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w:t>
            </w:r>
          </w:p>
        </w:tc>
        <w:tc>
          <w:tcPr>
            <w:tcW w:type="dxa" w:w="1152"/>
          </w:tcPr>
          <w:p>
            <w:pPr>
              <w:spacing w:after="40" w:before="40" w:line="252" w:lineRule="auto"/>
              <w:jc w:val="center"/>
            </w:pPr>
            <w:r/>
            <w:r>
              <w:rPr>
                <w:rFonts w:ascii="Arial" w:hAnsi="Arial"/>
                <w:b w:val="0"/>
                <w:color w:val="444A54"/>
                <w:sz w:val="17"/>
              </w:rPr>
              <w:t>78-90, 96-118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14:30 - 14:55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5: Indicator Stage: Pine Script v6 Indicators and their Python Twins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 K7</w:t>
            </w:r>
          </w:p>
        </w:tc>
        <w:tc>
          <w:tcPr>
            <w:tcW w:type="dxa" w:w="1152"/>
            <w:shd w:val="clear" w:fill="F2F5FA"/>
          </w:tcPr>
          <w:p>
            <w:pPr>
              <w:spacing w:after="40" w:before="40" w:line="252" w:lineRule="auto"/>
              <w:jc w:val="center"/>
            </w:pPr>
            <w:r/>
            <w:r>
              <w:rPr>
                <w:rFonts w:ascii="Arial" w:hAnsi="Arial"/>
                <w:b w:val="0"/>
                <w:color w:val="444A54"/>
                <w:sz w:val="17"/>
              </w:rPr>
              <w:t>124</w:t>
            </w:r>
          </w:p>
        </w:tc>
      </w:tr>
      <w:tr>
        <w:trPr>
          <w:cantSplit w:val="true"/>
        </w:trPr>
        <w:tc>
          <w:tcPr>
            <w:tcW w:type="dxa" w:w="1584"/>
          </w:tcPr>
          <w:p>
            <w:pPr>
              <w:spacing w:after="40" w:before="40" w:line="252" w:lineRule="auto"/>
              <w:jc w:val="center"/>
            </w:pPr>
            <w:r/>
            <w:r>
              <w:rPr>
                <w:rFonts w:ascii="Arial" w:hAnsi="Arial"/>
                <w:b w:val="0"/>
                <w:color w:val="444A54"/>
                <w:sz w:val="17"/>
              </w:rPr>
              <w:t>14:55 - 15:25</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6: Strategy Prototype: TradingView Strategy Tester, Paper Trading from the Chart and Pipeline Reconciliation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A3, K3, K7</w:t>
            </w:r>
          </w:p>
        </w:tc>
        <w:tc>
          <w:tcPr>
            <w:tcW w:type="dxa" w:w="1152"/>
          </w:tcPr>
          <w:p>
            <w:pPr>
              <w:spacing w:after="40" w:before="40" w:line="252" w:lineRule="auto"/>
              <w:jc w:val="center"/>
            </w:pPr>
            <w:r/>
            <w:r>
              <w:rPr>
                <w:rFonts w:ascii="Arial" w:hAnsi="Arial"/>
                <w:b w:val="0"/>
                <w:color w:val="444A54"/>
                <w:sz w:val="17"/>
              </w:rPr>
              <w:t>127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15:25 - 15:40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15:40 - 16:05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7: Signal Stage: a Library of Trend, Mean-Reversion, Momentum and Breakout Signals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 K7</w:t>
            </w:r>
          </w:p>
        </w:tc>
        <w:tc>
          <w:tcPr>
            <w:tcW w:type="dxa" w:w="1152"/>
          </w:tcPr>
          <w:p>
            <w:pPr>
              <w:spacing w:after="40" w:before="40" w:line="252" w:lineRule="auto"/>
              <w:jc w:val="center"/>
            </w:pPr>
            <w:r/>
            <w:r>
              <w:rPr>
                <w:rFonts w:ascii="Arial" w:hAnsi="Arial"/>
                <w:b w:val="0"/>
                <w:color w:val="444A54"/>
                <w:sz w:val="17"/>
              </w:rPr>
              <w:t>131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16:05 - 16:50</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T2.3-2.4 Analytics Platforms, Coding Languages and Order Placement</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K5, K7</w:t>
            </w:r>
          </w:p>
        </w:tc>
        <w:tc>
          <w:tcPr>
            <w:tcW w:type="dxa" w:w="1152"/>
            <w:shd w:val="clear" w:fill="F2F5FA"/>
          </w:tcPr>
          <w:p>
            <w:pPr>
              <w:spacing w:after="40" w:before="40" w:line="252" w:lineRule="auto"/>
              <w:jc w:val="center"/>
            </w:pPr>
            <w:r/>
            <w:r>
              <w:rPr>
                <w:rFonts w:ascii="Arial" w:hAnsi="Arial"/>
                <w:b w:val="0"/>
                <w:color w:val="444A54"/>
                <w:sz w:val="17"/>
              </w:rPr>
              <w:t>91-92, 119-123</w:t>
            </w:r>
          </w:p>
        </w:tc>
      </w:tr>
      <w:tr>
        <w:trPr>
          <w:cantSplit w:val="true"/>
        </w:trPr>
        <w:tc>
          <w:tcPr>
            <w:tcW w:type="dxa" w:w="1584"/>
          </w:tcPr>
          <w:p>
            <w:pPr>
              <w:spacing w:after="40" w:before="40" w:line="252" w:lineRule="auto"/>
              <w:jc w:val="center"/>
            </w:pPr>
            <w:r/>
            <w:r>
              <w:rPr>
                <w:rFonts w:ascii="Arial" w:hAnsi="Arial"/>
                <w:b w:val="0"/>
                <w:color w:val="444A54"/>
                <w:sz w:val="17"/>
              </w:rPr>
              <w:t>16:50 - 17:20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8: Execution Stage: an Order Manager that Trades the Paper Account in Any Session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K5</w:t>
            </w:r>
          </w:p>
        </w:tc>
        <w:tc>
          <w:tcPr>
            <w:tcW w:type="dxa" w:w="1152"/>
          </w:tcPr>
          <w:p>
            <w:pPr>
              <w:spacing w:after="40" w:before="40" w:line="252" w:lineRule="auto"/>
              <w:jc w:val="center"/>
            </w:pPr>
            <w:r/>
            <w:r>
              <w:rPr>
                <w:rFonts w:ascii="Arial" w:hAnsi="Arial"/>
                <w:b w:val="0"/>
                <w:color w:val="444A54"/>
                <w:sz w:val="17"/>
              </w:rPr>
              <w:t>134</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17:20 - 17:50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T2.5 Performance and Risk Metric Definitions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w:t>
            </w:r>
          </w:p>
        </w:tc>
        <w:tc>
          <w:tcPr>
            <w:tcW w:type="dxa" w:w="1152"/>
            <w:shd w:val="clear" w:fill="F2F5FA"/>
          </w:tcPr>
          <w:p>
            <w:pPr>
              <w:spacing w:after="40" w:before="40" w:line="252" w:lineRule="auto"/>
              <w:jc w:val="center"/>
            </w:pPr>
            <w:r/>
            <w:r>
              <w:rPr>
                <w:rFonts w:ascii="Arial" w:hAnsi="Arial"/>
                <w:b w:val="0"/>
                <w:color w:val="444A54"/>
                <w:sz w:val="17"/>
              </w:rPr>
              <w:t>93-95</w:t>
            </w:r>
          </w:p>
        </w:tc>
      </w:tr>
      <w:tr>
        <w:trPr>
          <w:cantSplit w:val="true"/>
        </w:trPr>
        <w:tc>
          <w:tcPr>
            <w:tcW w:type="dxa" w:w="1584"/>
          </w:tcPr>
          <w:p>
            <w:pPr>
              <w:spacing w:after="40" w:before="40" w:line="252" w:lineRule="auto"/>
              <w:jc w:val="center"/>
            </w:pPr>
            <w:r/>
            <w:r>
              <w:rPr>
                <w:rFonts w:ascii="Arial" w:hAnsi="Arial"/>
                <w:b w:val="0"/>
                <w:color w:val="444A54"/>
                <w:sz w:val="17"/>
              </w:rPr>
              <w:t>17:50 - 18:15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9: Evaluation Stage: Performance and Risk Metrics with a Benchmark Table</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K3</w:t>
            </w:r>
          </w:p>
        </w:tc>
        <w:tc>
          <w:tcPr>
            <w:tcW w:type="dxa" w:w="1152"/>
          </w:tcPr>
          <w:p>
            <w:pPr>
              <w:spacing w:after="40" w:before="40" w:line="252" w:lineRule="auto"/>
              <w:jc w:val="center"/>
            </w:pPr>
            <w:r/>
            <w:r>
              <w:rPr>
                <w:rFonts w:ascii="Arial" w:hAnsi="Arial"/>
                <w:b w:val="0"/>
                <w:color w:val="444A54"/>
                <w:sz w:val="17"/>
              </w:rPr>
              <w:t>138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18:15 - 18:30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Q&amp;A</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76, 141</w:t>
            </w:r>
          </w:p>
        </w:tc>
      </w:tr>
    </w:tbl>
    <w:p>
      <w:pPr>
        <w:spacing w:after="120"/>
      </w:pPr>
      <w:r>
        <w:rPr>
          <w:rFonts w:ascii="Arial" w:hAnsi="Arial"/>
          <w:b/>
          <w:i w:val="0"/>
          <w:color w:val="1F3864"/>
          <w:sz w:val="18"/>
        </w:rPr>
        <w:t>Instructional time Day 1: 480 minutes.</w:t>
      </w:r>
    </w:p>
    <w:p>
      <w:bookmarkStart w:id="906" w:name="_Toc905"/>
      <w:pPr>
        <w:pStyle w:val="Heading2"/>
      </w:pPr>
      <w:r>
        <w:t>Day 2</w:t>
      </w:r>
      <w:bookmarkEnd w:id="906"/>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09:00 - 09:15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Day 2 Overview</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76, 141</w:t>
            </w:r>
          </w:p>
        </w:tc>
      </w:tr>
      <w:tr>
        <w:trPr>
          <w:cantSplit w:val="true"/>
        </w:trPr>
        <w:tc>
          <w:tcPr>
            <w:tcW w:type="dxa" w:w="1584"/>
          </w:tcPr>
          <w:p>
            <w:pPr>
              <w:spacing w:after="40" w:before="40" w:line="252" w:lineRule="auto"/>
              <w:jc w:val="center"/>
            </w:pPr>
            <w:r/>
            <w:r>
              <w:rPr>
                <w:rFonts w:ascii="Arial" w:hAnsi="Arial"/>
                <w:b w:val="0"/>
                <w:color w:val="444A54"/>
                <w:sz w:val="17"/>
              </w:rPr>
              <w:t>09:15 - 09:40</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T3.1-3.2 Statistical Analyses, Algorithms and Supervised Learning Models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K2, K4</w:t>
            </w:r>
          </w:p>
        </w:tc>
        <w:tc>
          <w:tcPr>
            <w:tcW w:type="dxa" w:w="1152"/>
          </w:tcPr>
          <w:p>
            <w:pPr>
              <w:spacing w:after="40" w:before="40" w:line="252" w:lineRule="auto"/>
              <w:jc w:val="center"/>
            </w:pPr>
            <w:r/>
            <w:r>
              <w:rPr>
                <w:rFonts w:ascii="Arial" w:hAnsi="Arial"/>
                <w:b w:val="0"/>
                <w:color w:val="444A54"/>
                <w:sz w:val="17"/>
              </w:rPr>
              <w:t>144-146, 150-152, 157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09:40 - 10:00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10: Strategy-Search Stage: Grid Search, Out-of-Sample Ranking and Decay</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A2, A4, K2</w:t>
            </w:r>
          </w:p>
        </w:tc>
        <w:tc>
          <w:tcPr>
            <w:tcW w:type="dxa" w:w="1152"/>
            <w:shd w:val="clear" w:fill="F2F5FA"/>
          </w:tcPr>
          <w:p>
            <w:pPr>
              <w:spacing w:after="40" w:before="40" w:line="252" w:lineRule="auto"/>
              <w:jc w:val="center"/>
            </w:pPr>
            <w:r/>
            <w:r>
              <w:rPr>
                <w:rFonts w:ascii="Arial" w:hAnsi="Arial"/>
                <w:b w:val="0"/>
                <w:color w:val="444A54"/>
                <w:sz w:val="17"/>
              </w:rPr>
              <w:t>161</w:t>
            </w:r>
          </w:p>
        </w:tc>
      </w:tr>
      <w:tr>
        <w:trPr>
          <w:cantSplit w:val="true"/>
        </w:trPr>
        <w:tc>
          <w:tcPr>
            <w:tcW w:type="dxa" w:w="1584"/>
          </w:tcPr>
          <w:p>
            <w:pPr>
              <w:spacing w:after="40" w:before="40" w:line="252" w:lineRule="auto"/>
              <w:jc w:val="center"/>
            </w:pPr>
            <w:r/>
            <w:r>
              <w:rPr>
                <w:rFonts w:ascii="Arial" w:hAnsi="Arial"/>
                <w:b w:val="0"/>
                <w:color w:val="444A54"/>
                <w:sz w:val="17"/>
              </w:rPr>
              <w:t>10:00 - 10:20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11: ML-Signal Stage: a Walk-Forward Classifier from Probability to Position</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163</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10:20 - 10:35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10:35 - 10:55</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T3.3-3.4 Unsupervised Learning and Statistical Modelling Techniques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147-148, 153-155</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10:55 - 11:10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12: Regime-Filter Stage: PCA and K-Means as a Gate on the Signals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A4, K4, K6</w:t>
            </w:r>
          </w:p>
        </w:tc>
        <w:tc>
          <w:tcPr>
            <w:tcW w:type="dxa" w:w="1152"/>
            <w:shd w:val="clear" w:fill="F2F5FA"/>
          </w:tcPr>
          <w:p>
            <w:pPr>
              <w:spacing w:after="40" w:before="40" w:line="252" w:lineRule="auto"/>
              <w:jc w:val="center"/>
            </w:pPr>
            <w:r/>
            <w:r>
              <w:rPr>
                <w:rFonts w:ascii="Arial" w:hAnsi="Arial"/>
                <w:b w:val="0"/>
                <w:color w:val="444A54"/>
                <w:sz w:val="17"/>
              </w:rPr>
              <w:t>165</w:t>
            </w:r>
          </w:p>
        </w:tc>
      </w:tr>
      <w:tr>
        <w:trPr>
          <w:cantSplit w:val="true"/>
        </w:trPr>
        <w:tc>
          <w:tcPr>
            <w:tcW w:type="dxa" w:w="1584"/>
          </w:tcPr>
          <w:p>
            <w:pPr>
              <w:spacing w:after="40" w:before="40" w:line="252" w:lineRule="auto"/>
              <w:jc w:val="center"/>
            </w:pPr>
            <w:r/>
            <w:r>
              <w:rPr>
                <w:rFonts w:ascii="Arial" w:hAnsi="Arial"/>
                <w:b w:val="0"/>
                <w:color w:val="444A54"/>
                <w:sz w:val="17"/>
              </w:rPr>
              <w:t>11:10 - 11:25</w:t>
            </w:r>
          </w:p>
        </w:tc>
        <w:tc>
          <w:tcPr>
            <w:tcW w:type="dxa" w:w="1152"/>
          </w:tcPr>
          <w:p>
            <w:pPr>
              <w:spacing w:after="40" w:before="40" w:line="252" w:lineRule="auto"/>
              <w:jc w:val="center"/>
            </w:pPr>
            <w:r/>
            <w:r>
              <w:rPr>
                <w:rFonts w:ascii="Arial" w:hAnsi="Arial"/>
                <w:b w:val="0"/>
                <w:color w:val="444A54"/>
                <w:sz w:val="17"/>
              </w:rPr>
              <w:t>15 min</w:t>
            </w:r>
          </w:p>
        </w:tc>
        <w:tc>
          <w:tcPr>
            <w:tcW w:type="dxa" w:w="7200"/>
          </w:tcPr>
          <w:p>
            <w:pPr>
              <w:spacing w:after="40" w:before="40" w:line="252" w:lineRule="auto"/>
            </w:pPr>
            <w:r/>
            <w:r>
              <w:rPr>
                <w:rFonts w:ascii="Arial" w:hAnsi="Arial"/>
                <w:b w:val="0"/>
                <w:color w:val="444A54"/>
                <w:sz w:val="17"/>
              </w:rPr>
              <w:t>T3.5-3.6 A/B Testing, and Pairs Trading as a Hedging Algorithm</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A5, K2, K6</w:t>
            </w:r>
          </w:p>
        </w:tc>
        <w:tc>
          <w:tcPr>
            <w:tcW w:type="dxa" w:w="1152"/>
          </w:tcPr>
          <w:p>
            <w:pPr>
              <w:spacing w:after="40" w:before="40" w:line="252" w:lineRule="auto"/>
              <w:jc w:val="center"/>
            </w:pPr>
            <w:r/>
            <w:r>
              <w:rPr>
                <w:rFonts w:ascii="Arial" w:hAnsi="Arial"/>
                <w:b w:val="0"/>
                <w:color w:val="444A54"/>
                <w:sz w:val="17"/>
              </w:rPr>
              <w:t>149, 156, 158-160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11:25 - 11:40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13: A/B-Test Stage: a Statistical Decision before Capital Moves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A5, K2</w:t>
            </w:r>
          </w:p>
        </w:tc>
        <w:tc>
          <w:tcPr>
            <w:tcW w:type="dxa" w:w="1152"/>
            <w:shd w:val="clear" w:fill="F2F5FA"/>
          </w:tcPr>
          <w:p>
            <w:pPr>
              <w:spacing w:after="40" w:before="40" w:line="252" w:lineRule="auto"/>
              <w:jc w:val="center"/>
            </w:pPr>
            <w:r/>
            <w:r>
              <w:rPr>
                <w:rFonts w:ascii="Arial" w:hAnsi="Arial"/>
                <w:b w:val="0"/>
                <w:color w:val="444A54"/>
                <w:sz w:val="17"/>
              </w:rPr>
              <w:t>167</w:t>
            </w:r>
          </w:p>
        </w:tc>
      </w:tr>
      <w:tr>
        <w:trPr>
          <w:cantSplit w:val="true"/>
        </w:trPr>
        <w:tc>
          <w:tcPr>
            <w:tcW w:type="dxa" w:w="1584"/>
          </w:tcPr>
          <w:p>
            <w:pPr>
              <w:spacing w:after="40" w:before="40" w:line="252" w:lineRule="auto"/>
              <w:jc w:val="center"/>
            </w:pPr>
            <w:r/>
            <w:r>
              <w:rPr>
                <w:rFonts w:ascii="Arial" w:hAnsi="Arial"/>
                <w:b w:val="0"/>
                <w:color w:val="444A54"/>
                <w:sz w:val="17"/>
              </w:rPr>
              <w:t>11:40 - 12:00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14: Pairs Stage: a Hedged, Market-Neutral Statistical-Arbitrage Sleeve</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K6</w:t>
            </w:r>
          </w:p>
        </w:tc>
        <w:tc>
          <w:tcPr>
            <w:tcW w:type="dxa" w:w="1152"/>
          </w:tcPr>
          <w:p>
            <w:pPr>
              <w:spacing w:after="40" w:before="40" w:line="252" w:lineRule="auto"/>
              <w:jc w:val="center"/>
            </w:pPr>
            <w:r/>
            <w:r>
              <w:rPr>
                <w:rFonts w:ascii="Arial" w:hAnsi="Arial"/>
                <w:b w:val="0"/>
                <w:color w:val="444A54"/>
                <w:sz w:val="17"/>
              </w:rPr>
              <w:t>169</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12:00 - 12:30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T4.1-4.2 Pipeline Architecture and Backtesting with Trading Costs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173-176, 179</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15: Backtest-Engine Stage: Cost Models, Execution Timing and Break-Even</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184</w:t>
            </w:r>
          </w:p>
        </w:tc>
      </w:tr>
      <w:tr>
        <w:trPr>
          <w:cantSplit w:val="true"/>
        </w:trPr>
        <w:tc>
          <w:tcPr>
            <w:tcW w:type="dxa" w:w="1584"/>
          </w:tcPr>
          <w:p>
            <w:pPr>
              <w:spacing w:after="40" w:before="40" w:line="252" w:lineRule="auto"/>
              <w:jc w:val="center"/>
            </w:pPr>
            <w:r/>
            <w:r>
              <w:rPr>
                <w:rFonts w:ascii="Arial" w:hAnsi="Arial"/>
                <w:b w:val="0"/>
                <w:color w:val="444A54"/>
                <w:sz w:val="17"/>
              </w:rPr>
              <w:t>13:55 - 14:05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T4.3 Forward Testing with Automated Paper Trading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A8</w:t>
            </w:r>
          </w:p>
        </w:tc>
        <w:tc>
          <w:tcPr>
            <w:tcW w:type="dxa" w:w="1152"/>
          </w:tcPr>
          <w:p>
            <w:pPr>
              <w:spacing w:after="40" w:before="40" w:line="252" w:lineRule="auto"/>
              <w:jc w:val="center"/>
            </w:pPr>
            <w:r/>
            <w:r>
              <w:rPr>
                <w:rFonts w:ascii="Arial" w:hAnsi="Arial"/>
                <w:b w:val="0"/>
                <w:color w:val="444A54"/>
                <w:sz w:val="17"/>
              </w:rPr>
              <w:t>180-181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14:05 - 14:30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16: Automation Stage: a Scheduled, Risk-Checked Forward Test and Live Paper Trading</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186</w:t>
            </w:r>
          </w:p>
        </w:tc>
      </w:tr>
      <w:tr>
        <w:trPr>
          <w:cantSplit w:val="true"/>
        </w:trPr>
        <w:tc>
          <w:tcPr>
            <w:tcW w:type="dxa" w:w="1584"/>
          </w:tcPr>
          <w:p>
            <w:pPr>
              <w:spacing w:after="40" w:before="40" w:line="252" w:lineRule="auto"/>
              <w:jc w:val="center"/>
            </w:pPr>
            <w:r/>
            <w:r>
              <w:rPr>
                <w:rFonts w:ascii="Arial" w:hAnsi="Arial"/>
                <w:b w:val="0"/>
                <w:color w:val="444A54"/>
                <w:sz w:val="17"/>
              </w:rPr>
              <w:t>14:30 - 14:50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17: Event-Driven Automation: TradingView Webhook to Signal, Risk and Execution</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K5, K7</w:t>
            </w:r>
          </w:p>
        </w:tc>
        <w:tc>
          <w:tcPr>
            <w:tcW w:type="dxa" w:w="1152"/>
          </w:tcPr>
          <w:p>
            <w:pPr>
              <w:spacing w:after="40" w:before="40" w:line="252" w:lineRule="auto"/>
              <w:jc w:val="center"/>
            </w:pPr>
            <w:r/>
            <w:r>
              <w:rPr>
                <w:rFonts w:ascii="Arial" w:hAnsi="Arial"/>
                <w:b w:val="0"/>
                <w:color w:val="444A54"/>
                <w:sz w:val="17"/>
              </w:rPr>
              <w:t>188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14:50 - 15:00</w:t>
            </w:r>
          </w:p>
        </w:tc>
        <w:tc>
          <w:tcPr>
            <w:tcW w:type="dxa" w:w="1152"/>
            <w:shd w:val="clear" w:fill="F2F5FA"/>
          </w:tcPr>
          <w:p>
            <w:pPr>
              <w:spacing w:after="40" w:before="40" w:line="252" w:lineRule="auto"/>
              <w:jc w:val="center"/>
            </w:pPr>
            <w:r/>
            <w:r>
              <w:rPr>
                <w:rFonts w:ascii="Arial" w:hAnsi="Arial"/>
                <w:b w:val="0"/>
                <w:color w:val="444A54"/>
                <w:sz w:val="17"/>
              </w:rPr>
              <w:t>10 min</w:t>
            </w:r>
          </w:p>
        </w:tc>
        <w:tc>
          <w:tcPr>
            <w:tcW w:type="dxa" w:w="7200"/>
            <w:shd w:val="clear" w:fill="F2F5FA"/>
          </w:tcPr>
          <w:p>
            <w:pPr>
              <w:spacing w:after="40" w:before="40" w:line="252" w:lineRule="auto"/>
            </w:pPr>
            <w:r/>
            <w:r>
              <w:rPr>
                <w:rFonts w:ascii="Arial" w:hAnsi="Arial"/>
                <w:b w:val="0"/>
                <w:color w:val="444A54"/>
                <w:sz w:val="17"/>
              </w:rPr>
              <w:t>T4.4 Potential Reasons for Unintended Outcomes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A9, K8</w:t>
            </w:r>
          </w:p>
        </w:tc>
        <w:tc>
          <w:tcPr>
            <w:tcW w:type="dxa" w:w="1152"/>
            <w:shd w:val="clear" w:fill="F2F5FA"/>
          </w:tcPr>
          <w:p>
            <w:pPr>
              <w:spacing w:after="40" w:before="40" w:line="252" w:lineRule="auto"/>
              <w:jc w:val="center"/>
            </w:pPr>
            <w:r/>
            <w:r>
              <w:rPr>
                <w:rFonts w:ascii="Arial" w:hAnsi="Arial"/>
                <w:b w:val="0"/>
                <w:color w:val="444A54"/>
                <w:sz w:val="17"/>
              </w:rPr>
              <w:t>177, 182</w:t>
            </w:r>
          </w:p>
        </w:tc>
      </w:tr>
      <w:tr>
        <w:trPr>
          <w:cantSplit w:val="true"/>
        </w:trPr>
        <w:tc>
          <w:tcPr>
            <w:tcW w:type="dxa" w:w="1584"/>
          </w:tcPr>
          <w:p>
            <w:pPr>
              <w:spacing w:after="40" w:before="40" w:line="252" w:lineRule="auto"/>
              <w:jc w:val="center"/>
            </w:pPr>
            <w:r/>
            <w:r>
              <w:rPr>
                <w:rFonts w:ascii="Arial" w:hAnsi="Arial"/>
                <w:b w:val="0"/>
                <w:color w:val="444A54"/>
                <w:sz w:val="17"/>
              </w:rPr>
              <w:t>15:00 - 15:20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18: Diagnostics Stage: Automated Bias Checks before Go-Live</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A9, K8</w:t>
            </w:r>
          </w:p>
        </w:tc>
        <w:tc>
          <w:tcPr>
            <w:tcW w:type="dxa" w:w="1152"/>
          </w:tcPr>
          <w:p>
            <w:pPr>
              <w:spacing w:after="40" w:before="40" w:line="252" w:lineRule="auto"/>
              <w:jc w:val="center"/>
            </w:pPr>
            <w:r/>
            <w:r>
              <w:rPr>
                <w:rFonts w:ascii="Arial" w:hAnsi="Arial"/>
                <w:b w:val="0"/>
                <w:color w:val="444A54"/>
                <w:sz w:val="17"/>
              </w:rPr>
              <w:t>190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15:20 - 15:35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15:35 - 15:45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T4.5 Performance Analysis, Insights and Reporting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A10</w:t>
            </w:r>
          </w:p>
        </w:tc>
        <w:tc>
          <w:tcPr>
            <w:tcW w:type="dxa" w:w="1152"/>
          </w:tcPr>
          <w:p>
            <w:pPr>
              <w:spacing w:after="40" w:before="40" w:line="252" w:lineRule="auto"/>
              <w:jc w:val="center"/>
            </w:pPr>
            <w:r/>
            <w:r>
              <w:rPr>
                <w:rFonts w:ascii="Arial" w:hAnsi="Arial"/>
                <w:b w:val="0"/>
                <w:color w:val="444A54"/>
                <w:sz w:val="17"/>
              </w:rPr>
              <w:t>178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15:45 - 16:10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19: Monitoring and Reporting Stage: Automated Tearsheet and Backtest-vs-Forward Report</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A8, A10</w:t>
            </w:r>
          </w:p>
        </w:tc>
        <w:tc>
          <w:tcPr>
            <w:tcW w:type="dxa" w:w="1152"/>
            <w:shd w:val="clear" w:fill="F2F5FA"/>
          </w:tcPr>
          <w:p>
            <w:pPr>
              <w:spacing w:after="40" w:before="40" w:line="252" w:lineRule="auto"/>
              <w:jc w:val="center"/>
            </w:pPr>
            <w:r/>
            <w:r>
              <w:rPr>
                <w:rFonts w:ascii="Arial" w:hAnsi="Arial"/>
                <w:b w:val="0"/>
                <w:color w:val="444A54"/>
                <w:sz w:val="17"/>
              </w:rPr>
              <w:t>192</w:t>
            </w:r>
          </w:p>
        </w:tc>
      </w:tr>
      <w:tr>
        <w:trPr>
          <w:cantSplit w:val="true"/>
        </w:trPr>
        <w:tc>
          <w:tcPr>
            <w:tcW w:type="dxa" w:w="1584"/>
          </w:tcPr>
          <w:p>
            <w:pPr>
              <w:spacing w:after="40" w:before="40" w:line="252" w:lineRule="auto"/>
              <w:jc w:val="center"/>
            </w:pPr>
            <w:r/>
            <w:r>
              <w:rPr>
                <w:rFonts w:ascii="Arial" w:hAnsi="Arial"/>
                <w:b w:val="0"/>
                <w:color w:val="444A54"/>
                <w:sz w:val="17"/>
              </w:rPr>
              <w:t>16:10 - 16:30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20: Capstone: One Command Runs the Pipeline End to End, with an Agentic Layer and Human Approval</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A10, K1</w:t>
            </w:r>
          </w:p>
        </w:tc>
        <w:tc>
          <w:tcPr>
            <w:tcW w:type="dxa" w:w="1152"/>
          </w:tcPr>
          <w:p>
            <w:pPr>
              <w:spacing w:after="40" w:before="40" w:line="252" w:lineRule="auto"/>
              <w:jc w:val="center"/>
            </w:pPr>
            <w:r/>
            <w:r>
              <w:rPr>
                <w:rFonts w:ascii="Arial" w:hAnsi="Arial"/>
                <w:b w:val="0"/>
                <w:color w:val="444A54"/>
                <w:sz w:val="17"/>
              </w:rPr>
              <w:t>194</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16:30 - 17:15</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Written Assessment (Short Answer Questions)</w:t>
            </w:r>
          </w:p>
        </w:tc>
        <w:tc>
          <w:tcPr>
            <w:tcW w:type="dxa" w:w="1008"/>
            <w:shd w:val="clear" w:fill="F2F5FA"/>
          </w:tcPr>
          <w:p>
            <w:pPr>
              <w:spacing w:after="40" w:before="40" w:line="252" w:lineRule="auto"/>
              <w:jc w:val="center"/>
            </w:pPr>
            <w:r/>
            <w:r>
              <w:rPr>
                <w:rFonts w:ascii="Arial" w:hAnsi="Arial"/>
                <w:b w:val="0"/>
                <w:color w:val="444A54"/>
                <w:sz w:val="17"/>
              </w:rPr>
              <w:t>All LOs</w:t>
            </w:r>
          </w:p>
        </w:tc>
        <w:tc>
          <w:tcPr>
            <w:tcW w:type="dxa" w:w="2016"/>
            <w:shd w:val="clear" w:fill="F2F5FA"/>
          </w:tcPr>
          <w:p>
            <w:pPr>
              <w:spacing w:after="40" w:before="40" w:line="252" w:lineRule="auto"/>
              <w:jc w:val="center"/>
            </w:pPr>
            <w:r/>
            <w:r>
              <w:rPr>
                <w:rFonts w:ascii="Arial" w:hAnsi="Arial"/>
                <w:b w:val="0"/>
                <w:color w:val="444A54"/>
                <w:sz w:val="17"/>
              </w:rPr>
              <w:t>K1 - K9</w:t>
            </w:r>
          </w:p>
        </w:tc>
        <w:tc>
          <w:tcPr>
            <w:tcW w:type="dxa" w:w="1152"/>
            <w:shd w:val="clear" w:fill="F2F5FA"/>
          </w:tcPr>
          <w:p>
            <w:pPr>
              <w:spacing w:after="40" w:before="40" w:line="252" w:lineRule="auto"/>
              <w:jc w:val="center"/>
            </w:pPr>
            <w:r/>
            <w:r>
              <w:rPr>
                <w:rFonts w:ascii="Arial" w:hAnsi="Arial"/>
                <w:b w:val="0"/>
                <w:color w:val="444A54"/>
                <w:sz w:val="17"/>
              </w:rPr>
              <w:t>23</w:t>
            </w:r>
          </w:p>
        </w:tc>
      </w:tr>
      <w:tr>
        <w:trPr>
          <w:cantSplit w:val="true"/>
        </w:trPr>
        <w:tc>
          <w:tcPr>
            <w:tcW w:type="dxa" w:w="1584"/>
          </w:tcPr>
          <w:p>
            <w:pPr>
              <w:spacing w:after="40" w:before="40" w:line="252" w:lineRule="auto"/>
              <w:jc w:val="center"/>
            </w:pPr>
            <w:r/>
            <w:r>
              <w:rPr>
                <w:rFonts w:ascii="Arial" w:hAnsi="Arial"/>
                <w:b w:val="0"/>
                <w:color w:val="444A54"/>
                <w:sz w:val="17"/>
              </w:rPr>
              <w:t>17:15 - 18:30</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Practical Performance Assessment</w:t>
            </w:r>
          </w:p>
        </w:tc>
        <w:tc>
          <w:tcPr>
            <w:tcW w:type="dxa" w:w="1008"/>
          </w:tcPr>
          <w:p>
            <w:pPr>
              <w:spacing w:after="40" w:before="40" w:line="252" w:lineRule="auto"/>
              <w:jc w:val="center"/>
            </w:pPr>
            <w:r/>
            <w:r>
              <w:rPr>
                <w:rFonts w:ascii="Arial" w:hAnsi="Arial"/>
                <w:b w:val="0"/>
                <w:color w:val="444A54"/>
                <w:sz w:val="17"/>
              </w:rPr>
              <w:t>All LOs</w:t>
            </w:r>
          </w:p>
        </w:tc>
        <w:tc>
          <w:tcPr>
            <w:tcW w:type="dxa" w:w="2016"/>
          </w:tcPr>
          <w:p>
            <w:pPr>
              <w:spacing w:after="40" w:before="40" w:line="252" w:lineRule="auto"/>
              <w:jc w:val="center"/>
            </w:pPr>
            <w:r/>
            <w:r>
              <w:rPr>
                <w:rFonts w:ascii="Arial" w:hAnsi="Arial"/>
                <w:b w:val="0"/>
                <w:color w:val="444A54"/>
                <w:sz w:val="17"/>
              </w:rPr>
              <w:t>A1 - A10</w:t>
            </w:r>
          </w:p>
        </w:tc>
        <w:tc>
          <w:tcPr>
            <w:tcW w:type="dxa" w:w="1152"/>
          </w:tcPr>
          <w:p>
            <w:pPr>
              <w:spacing w:after="40" w:before="40" w:line="252" w:lineRule="auto"/>
              <w:jc w:val="center"/>
            </w:pPr>
            <w:r/>
            <w:r>
              <w:rPr>
                <w:rFonts w:ascii="Arial" w:hAnsi="Arial"/>
                <w:b w:val="0"/>
                <w:color w:val="444A54"/>
                <w:sz w:val="17"/>
              </w:rPr>
              <w:t>23</w:t>
            </w:r>
          </w:p>
        </w:tc>
      </w:tr>
    </w:tbl>
    <w:p>
      <w:pPr>
        <w:spacing w:after="120"/>
      </w:pPr>
      <w:r>
        <w:rPr>
          <w:rFonts w:ascii="Arial" w:hAnsi="Arial"/>
          <w:b/>
          <w:i w:val="0"/>
          <w:color w:val="1F3864"/>
          <w:sz w:val="18"/>
        </w:rPr>
        <w:t>Instructional time Day 2: 480 minutes.</w:t>
      </w:r>
    </w:p>
    <w:p>
      <w:pPr>
        <w:sectPr>
          <w:footerReference w:type="default" r:id="rId10"/>
          <w:pgSz w:w="15840" w:h="12240" w:orient="landscape"/>
          <w:pgMar w:top="864" w:right="864" w:bottom="864" w:left="864" w:header="720" w:footer="720" w:gutter="0"/>
          <w:cols w:space="720"/>
          <w:docGrid w:linePitch="360"/>
        </w:sectPr>
      </w:pPr>
    </w:p>
    <w:p>
      <w:bookmarkStart w:id="907" w:name="_Toc906"/>
      <w:pPr>
        <w:pStyle w:val="Heading1"/>
      </w:pPr>
      <w:r>
        <w:t>4.  Facilitation Notes by Topic</w:t>
      </w:r>
      <w:bookmarkEnd w:id="907"/>
    </w:p>
    <w:p>
      <w:bookmarkStart w:id="908" w:name="_Toc907"/>
      <w:pPr>
        <w:pStyle w:val="Heading2"/>
      </w:pPr>
      <w:r>
        <w:t>Topic 1: Foundations of Quant and Algorithmic Trading: From Thorp to AI Agents</w:t>
      </w:r>
      <w:bookmarkEnd w:id="908"/>
    </w:p>
    <w:p>
      <w:pPr>
        <w:spacing w:after="120"/>
      </w:pPr>
      <w:r>
        <w:rPr>
          <w:rFonts w:ascii="Arial" w:hAnsi="Arial"/>
          <w:b/>
          <w:i w:val="0"/>
          <w:color w:val="E87122"/>
          <w:sz w:val="19"/>
        </w:rPr>
        <w:t>Day 1  |  Slides 35-76  |  A1, A6, K1, K9  |  Labs 1-4</w:t>
      </w:r>
    </w:p>
    <w:p>
      <w:pPr>
        <w:spacing w:after="120"/>
      </w:pPr>
      <w:r>
        <w:rPr>
          <w:rFonts w:ascii="Arial" w:hAnsi="Arial"/>
          <w:b w:val="0"/>
          <w:i w:val="0"/>
          <w:color w:val="444A54"/>
          <w:sz w:val="21"/>
        </w:rPr>
        <w:t>Learning outcome: Develop hypotheses for implementing data analytics and computational modelling activities in algorithmic trading, and identify possible big data applications across the forms of data within financial services.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1.1 Quant Success Stories: What Systematic Trading Has Achieved (K1): 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0"/>
        </w:rPr>
        <w:t>1.2 The Evolution of Quant: From Thorp and Renaissance to High-Frequency Trading (K1, K9): 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0"/>
        </w:rPr>
        <w:t>1.3 The Paradigm Shift from Machine Learning to LLMs, and Its Impact on Quant (K1, K9): 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0"/>
        </w:rPr>
        <w:t>1.4 Agentic AI versus AI Agents in Trading, and Multi-Agent Trading Systems (K1): 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0"/>
        </w:rPr>
        <w:t>1.5 Forms of Data within Financial Services and Big Data Applications in Trading (K9, A6): 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0"/>
        </w:rPr>
        <w:t>1.6 Developing Hypotheses for Quant and Algorithmic Trading Models (A1, K1): Every trading model starts with a hypothesis: a precise, testable statement about market behaviour - not 'buy good stocks' but 'when SPY closes below its lower Bollinger Band, its average 5-day forward return exceeds its unconditional 5-day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Open with the success stories (Thorp, Renaissance, D.E. Shaw, Man AHL, Two Sigma, the quant market makers) and ask: 'What did they all have in common?' - a testable hypothesis, clean data, out-of-sample testing, costs and risk control.</w:t>
      </w:r>
    </w:p>
    <w:p>
      <w:pPr>
        <w:pStyle w:val="ListBullet"/>
        <w:spacing w:after="60"/>
        <w:ind w:left="432"/>
      </w:pPr>
      <w:r>
        <w:rPr>
          <w:rFonts w:ascii="Arial" w:hAnsi="Arial"/>
          <w:color w:val="444A54"/>
          <w:sz w:val="20"/>
        </w:rPr>
        <w:t>Walk the evolution of quant as a chain: probability and option pricing -&gt; factor models -&gt; statistical arbitrage -&gt; HFT speed race -&gt; ML -&gt; LLMs and agents. Tie each failure to a control used later: LTCM -&gt; leverage limits; quant quake -&gt; crowding; Knight Capital -&gt; deployment testing and the kill switch.</w:t>
      </w:r>
    </w:p>
    <w:p>
      <w:pPr>
        <w:pStyle w:val="ListBullet"/>
        <w:spacing w:after="60"/>
        <w:ind w:left="432"/>
      </w:pPr>
      <w:r>
        <w:rPr>
          <w:rFonts w:ascii="Arial" w:hAnsi="Arial"/>
          <w:color w:val="444A54"/>
          <w:sz w:val="20"/>
        </w:rPr>
        <w:t>Define agentic AI as the capability (tools, skills, memory, instructions) and an AI agent as its special always-on class that stands by 24/7 (OpenClaw, Hermes Agent, OpenAI Dots).</w:t>
      </w:r>
    </w:p>
    <w:p>
      <w:pPr>
        <w:pStyle w:val="ListBullet"/>
        <w:spacing w:after="60"/>
        <w:ind w:left="432"/>
      </w:pPr>
      <w:r>
        <w:rPr>
          <w:rFonts w:ascii="Arial" w:hAnsi="Arial"/>
          <w:color w:val="444A54"/>
          <w:sz w:val="20"/>
        </w:rPr>
        <w:t>On the ML-to-LLM shift, stress the new backtest risk: an LLM may 'know' its training period, so LLM signals must be tested after the knowledge cutoff.</w:t>
      </w:r>
    </w:p>
    <w:p>
      <w:pPr>
        <w:pStyle w:val="ListBullet"/>
        <w:spacing w:after="60"/>
        <w:ind w:left="432"/>
      </w:pPr>
      <w:r>
        <w:rPr>
          <w:rFonts w:ascii="Arial" w:hAnsi="Arial"/>
          <w:color w:val="444A54"/>
          <w:sz w:val="20"/>
        </w:rPr>
        <w:t>Insist that every hypothesis in Lab 4 states all five elements before any data is examined. This is assessed in PP Task 1.</w:t>
      </w:r>
    </w:p>
    <w:p>
      <w:pPr>
        <w:pStyle w:val="Heading3"/>
      </w:pPr>
      <w:r>
        <w:t>Lab 1: Pipeline Skeleton, Configuration and the Alpaca Paper Account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K5  |  20 min  |  slide 67</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labs_lowcode/Lab01-alpaca-setup/Lab01_Instructions.pdf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Get the simulator running, decide between the offline demo and an Alpaca paper account, and check every integration's status.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Load the demo data  (settings)</w:t>
            </w:r>
          </w:p>
          <w:p>
            <w:pPr>
              <w:keepNext/>
              <w:spacing w:after="40" w:line="252" w:lineRule="auto"/>
            </w:pPr>
            <w:r>
              <w:rPr>
                <w:rFonts w:ascii="Arial" w:hAnsi="Arial"/>
                <w:b w:val="0"/>
                <w:color w:val="444A54"/>
                <w:sz w:val="18"/>
              </w:rPr>
              <w:t>Step 2. Check the integrations  (integrations)</w:t>
            </w:r>
          </w:p>
          <w:p>
            <w:pPr>
              <w:keepNext/>
              <w:spacing w:after="40" w:line="252" w:lineRule="auto"/>
            </w:pPr>
            <w:r>
              <w:rPr>
                <w:rFonts w:ascii="Arial" w:hAnsi="Arial"/>
                <w:b w:val="0"/>
                <w:color w:val="444A54"/>
                <w:sz w:val="18"/>
              </w:rPr>
              <w:t>Step 3. Check the AI agent login  (integrations)</w:t>
            </w:r>
          </w:p>
          <w:p>
            <w:pPr>
              <w:keepNext/>
              <w:spacing w:after="40" w:line="252" w:lineRule="auto"/>
            </w:pPr>
            <w:r>
              <w:rPr>
                <w:rFonts w:ascii="Arial" w:hAnsi="Arial"/>
                <w:b w:val="0"/>
                <w:color w:val="444A54"/>
                <w:sz w:val="18"/>
              </w:rPr>
              <w:t>Step 4. Read the market clock  (trading)</w:t>
            </w:r>
          </w:p>
          <w:p>
            <w:pPr>
              <w:keepNext/>
              <w:spacing w:after="40" w:line="252" w:lineRule="auto"/>
            </w:pPr>
            <w:r>
              <w:rPr>
                <w:rFonts w:ascii="Arial" w:hAnsi="Arial"/>
                <w:b w:val="0"/>
                <w:color w:val="444A54"/>
                <w:sz w:val="18"/>
              </w:rPr>
              <w:t>Step 5. Tour the Pipeline Map  (pipeline)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working app with demo data loaded, a verified Alpaca paper account or the simulator, and a known AI-agent brain.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tc>
      </w:tr>
    </w:tbl>
    <w:p>
      <w:pPr>
        <w:pStyle w:val="Heading3"/>
      </w:pPr>
      <w:r>
        <w:t>Lab 2: Data-Validation Stage: Cross-Check Pipeline Bars against TradingView</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K9  |  20 min  |  slide 69</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labs_lowcode/Lab02-tradingview-charts/Lab02_Instructions.pdf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Prove the app's prices are right: compare its bars with TradingView's Data Window and explain adjusted vs unadjusted prices.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Read TradingView's Data Window  (data?tab=reference&amp;ref=AAPL)</w:t>
            </w:r>
          </w:p>
          <w:p>
            <w:pPr>
              <w:keepNext/>
              <w:spacing w:after="40" w:line="252" w:lineRule="auto"/>
            </w:pPr>
            <w:r>
              <w:rPr>
                <w:rFonts w:ascii="Arial" w:hAnsi="Arial"/>
                <w:b w:val="0"/>
                <w:color w:val="444A54"/>
                <w:sz w:val="18"/>
              </w:rPr>
              <w:t>Step 2. Compare with RAW and ADJUSTED bars  (data?tab=reference&amp;ref=AAPL)</w:t>
            </w:r>
          </w:p>
          <w:p>
            <w:pPr>
              <w:keepNext/>
              <w:spacing w:after="40" w:line="252" w:lineRule="auto"/>
            </w:pPr>
            <w:r>
              <w:rPr>
                <w:rFonts w:ascii="Arial" w:hAnsi="Arial"/>
                <w:b w:val="0"/>
                <w:color w:val="444A54"/>
                <w:sz w:val="18"/>
              </w:rPr>
              <w:t>Step 3. Repeat for SGX:D05 (DBS)  (data?tab=reference&amp;ref=D05.SI)</w:t>
            </w:r>
          </w:p>
          <w:p>
            <w:pPr>
              <w:keepNext/>
              <w:spacing w:after="40" w:line="252" w:lineRule="auto"/>
            </w:pPr>
            <w:r>
              <w:rPr>
                <w:rFonts w:ascii="Arial" w:hAnsi="Arial"/>
                <w:b w:val="0"/>
                <w:color w:val="444A54"/>
                <w:sz w:val="18"/>
              </w:rPr>
              <w:t>Step 4. Inspect the chart  (data?tab=chart&amp;symbol=AAPL)</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PASS / FAIL validation for SGX:D05 and NASDAQ:AAPL on 2025-12-31, with the dividend-adjustment factor explained.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tc>
      </w:tr>
    </w:tbl>
    <w:p>
      <w:pPr>
        <w:pStyle w:val="Heading3"/>
      </w:pPr>
      <w:r>
        <w:t>Lab 3: Ingestion Stage: Multi-Timeframe Bars, Headlines and Data Quality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A6, K9  |  20 min  |  slide 71</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labs_lowcode/Lab03-alpaca-market-data/Lab03_Instructions.pdf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Ingest bars from Alpaca / Twelve Data / yfinance (or the demo files), run the data-quality checks and score news sentiment.</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Fetch data  (data?tab=instruments&amp;symbol=AAPL)</w:t>
            </w:r>
          </w:p>
          <w:p>
            <w:pPr>
              <w:keepNext/>
              <w:spacing w:after="40" w:line="252" w:lineRule="auto"/>
            </w:pPr>
            <w:r>
              <w:rPr>
                <w:rFonts w:ascii="Arial" w:hAnsi="Arial"/>
                <w:b w:val="0"/>
                <w:color w:val="444A54"/>
                <w:sz w:val="18"/>
              </w:rPr>
              <w:t>Step 2. Read the data-quality report  (data?tab=quality&amp;symbol=SPY)</w:t>
            </w:r>
          </w:p>
          <w:p>
            <w:pPr>
              <w:keepNext/>
              <w:spacing w:after="40" w:line="252" w:lineRule="auto"/>
            </w:pPr>
            <w:r>
              <w:rPr>
                <w:rFonts w:ascii="Arial" w:hAnsi="Arial"/>
                <w:b w:val="0"/>
                <w:color w:val="444A54"/>
                <w:sz w:val="18"/>
              </w:rPr>
              <w:t>Step 3. Switch timeframes  (data?tab=chart&amp;symbol=SPY&amp;timeframe=1Week)</w:t>
            </w:r>
          </w:p>
          <w:p>
            <w:pPr>
              <w:keepNext/>
              <w:spacing w:after="40" w:line="252" w:lineRule="auto"/>
            </w:pPr>
            <w:r>
              <w:rPr>
                <w:rFonts w:ascii="Arial" w:hAnsi="Arial"/>
                <w:b w:val="0"/>
                <w:color w:val="444A54"/>
                <w:sz w:val="18"/>
              </w:rPr>
              <w:t>Step 4. Headlines and sentiment  (data?tab=news&amp;symbol=NVDA)</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cached universe, a data-quality report and scored headlines with daily sentiment.</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tc>
      </w:tr>
    </w:tbl>
    <w:p>
      <w:pPr>
        <w:pStyle w:val="Heading3"/>
      </w:pPr>
      <w:r>
        <w:t>Lab 4: Hypothesis Stage: from a Written Card to an Automated Statistical Test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A1, A6, K1  |  15 min  |  slide 74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labs_lowcode/Lab04-trading-hypothesis/Lab04_Instructions.pdf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Write H0 and H1 before looking at results and test them with a Welch t-test and a bootstrap CI.</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Write the hypothesis card  (research/hypothesis)</w:t>
            </w:r>
          </w:p>
          <w:p>
            <w:pPr>
              <w:keepNext/>
              <w:spacing w:after="40" w:line="252" w:lineRule="auto"/>
            </w:pPr>
            <w:r>
              <w:rPr>
                <w:rFonts w:ascii="Arial" w:hAnsi="Arial"/>
                <w:b w:val="0"/>
                <w:color w:val="444A54"/>
                <w:sz w:val="18"/>
              </w:rPr>
              <w:t>Step 2. Run the test  (research/hypothesis)</w:t>
            </w:r>
          </w:p>
          <w:p>
            <w:pPr>
              <w:keepNext/>
              <w:spacing w:after="40" w:line="252" w:lineRule="auto"/>
            </w:pPr>
            <w:r>
              <w:rPr>
                <w:rFonts w:ascii="Arial" w:hAnsi="Arial"/>
                <w:b w:val="0"/>
                <w:color w:val="444A54"/>
                <w:sz w:val="18"/>
              </w:rPr>
              <w:t>Step 3. Robustness and multiple testing  (research/hypothesis)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decision (SUPPORTED / NOT SUPPORTED) with p-value, edge in bps and a robustness grid.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tc>
      </w:tr>
    </w:tbl>
    <w:p>
      <w:bookmarkStart w:id="909" w:name="_Toc908"/>
      <w:pPr>
        <w:pStyle w:val="Heading2"/>
      </w:pPr>
      <w:r>
        <w:t>Topic 2: Technical Indicators, Trading Strategies and Metrics with TradingView and Alpaca</w:t>
      </w:r>
      <w:bookmarkEnd w:id="909"/>
    </w:p>
    <w:p>
      <w:pPr>
        <w:spacing w:after="120"/>
      </w:pPr>
      <w:r>
        <w:rPr>
          <w:rFonts w:ascii="Arial" w:hAnsi="Arial"/>
          <w:b/>
          <w:i w:val="0"/>
          <w:color w:val="E87122"/>
          <w:sz w:val="19"/>
        </w:rPr>
        <w:t>Day 1  |  Slides 77-142  |  A2, A3, K3, K5, K7  |  Labs 5-9</w:t>
      </w:r>
    </w:p>
    <w:p>
      <w:pPr>
        <w:spacing w:after="120"/>
      </w:pPr>
      <w:r>
        <w:rPr>
          <w:rFonts w:ascii="Arial" w:hAnsi="Arial"/>
          <w:b w:val="0"/>
          <w:i w:val="0"/>
          <w:color w:val="444A54"/>
          <w:sz w:val="21"/>
        </w:rPr>
        <w:t>Learning outcome: Identify appropriate statistical algorithms and data models to test trading hypotheses, and use appropriate analytics platforms, analytical tools and statistical methods given specific analytics and reporting requirements.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2.1 Technical Indicators: Trend, Momentum, Volatility and Volume (K3): 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0"/>
        </w:rPr>
        <w:t>2.2 Classification of Algorithmic Trading and Quant Algorithms (K3, A2): 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0"/>
        </w:rPr>
        <w:t>2.3 Analytics Platforms and Tools: TradingView versus Alpaca, and Python (K5, A3): 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0"/>
        </w:rPr>
        <w:t>2.4 Coding Languages for Algorithms and Signals, and Order Placement (K7): 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0"/>
        </w:rPr>
        <w:t>2.5 Performance and Risk Metric Definitions (K3, A3): Return metrics: total return; compound annual growth rate CAGR = (ending value / starting value)^(1/years) - 1; and the benchmark-relative excess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Demonstrate the Pine Editor live: paste the Lab 5 script, add it to the chart, then change one input and show the chart update.</w:t>
      </w:r>
    </w:p>
    <w:p>
      <w:pPr>
        <w:pStyle w:val="ListBullet"/>
        <w:spacing w:after="60"/>
        <w:ind w:left="432"/>
      </w:pPr>
      <w:r>
        <w:rPr>
          <w:rFonts w:ascii="Arial" w:hAnsi="Arial"/>
          <w:color w:val="444A54"/>
          <w:sz w:val="20"/>
        </w:rPr>
        <w:t>When explaining metrics, compute one Sharpe ratio by hand on the whiteboard from five daily returns before learners run Lab 9.</w:t>
      </w:r>
    </w:p>
    <w:p>
      <w:pPr>
        <w:pStyle w:val="ListBullet"/>
        <w:spacing w:after="60"/>
        <w:ind w:left="432"/>
      </w:pPr>
      <w:r>
        <w:rPr>
          <w:rFonts w:ascii="Arial" w:hAnsi="Arial"/>
          <w:color w:val="444A54"/>
          <w:sz w:val="20"/>
        </w:rPr>
        <w:t>Emphasise order status in Lab 8: a submitted order is not a filled order.</w:t>
      </w:r>
    </w:p>
    <w:p>
      <w:pPr>
        <w:pStyle w:val="ListBullet"/>
        <w:spacing w:after="60"/>
        <w:ind w:left="432"/>
      </w:pPr>
      <w:r>
        <w:rPr>
          <w:rFonts w:ascii="Arial" w:hAnsi="Arial"/>
          <w:color w:val="444A54"/>
          <w:sz w:val="20"/>
        </w:rPr>
        <w:t>On the RSI look-back slides, show SPY on 10 October 2025 in the simulator chart with the lower pane on RSI: RSI(2) fell to 5.8 while RSI(14) stayed near 42 - same day, opposite signals, because only the look-back differs.</w:t>
      </w:r>
    </w:p>
    <w:p>
      <w:pPr>
        <w:pStyle w:val="ListBullet"/>
        <w:spacing w:after="60"/>
        <w:ind w:left="432"/>
      </w:pPr>
      <w:r>
        <w:rPr>
          <w:rFonts w:ascii="Arial" w:hAnsi="Arial"/>
          <w:color w:val="444A54"/>
          <w:sz w:val="20"/>
        </w:rPr>
        <w:t>Before the strategy families, check that every learner can say what a short position is and why its loss is unlimited; then, on the mean-reversion risk slide, ask which safeguard would have limited the March 2020 losses.</w:t>
      </w:r>
    </w:p>
    <w:p>
      <w:pPr>
        <w:pStyle w:val="ListBullet"/>
        <w:spacing w:after="60"/>
        <w:ind w:left="432"/>
      </w:pPr>
      <w:r>
        <w:rPr>
          <w:rFonts w:ascii="Arial" w:hAnsi="Arial"/>
          <w:color w:val="444A54"/>
          <w:sz w:val="20"/>
        </w:rPr>
        <w:t>Learners who finish early: ask them to add an RSI filter to the Lab 6 strategy and compare the Strategy Tester metrics.</w:t>
      </w:r>
    </w:p>
    <w:p>
      <w:pPr>
        <w:pStyle w:val="Heading3"/>
      </w:pPr>
      <w:r>
        <w:t>Lab 5: Indicator Stage: Pine Script v6 Indicators and their Python Twins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K7  |  25 min  |  slide 124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labs_lowcode/Lab05-pine-indicators/Lab05_Instructions.pdf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Plot SMA/EMA, Bollinger Bands, RSI and MACD and export a Pine Script v6 strategy for TradingView.</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Overlay trend indicators  (data?tab=chart&amp;symbol=SPY&amp;overlays=sma:50,sma:200,bollinger)</w:t>
            </w:r>
          </w:p>
          <w:p>
            <w:pPr>
              <w:keepNext/>
              <w:spacing w:after="40" w:line="252" w:lineRule="auto"/>
            </w:pPr>
            <w:r>
              <w:rPr>
                <w:rFonts w:ascii="Arial" w:hAnsi="Arial"/>
                <w:b w:val="0"/>
                <w:color w:val="444A54"/>
                <w:sz w:val="18"/>
              </w:rPr>
              <w:t>Step 2. Oscillators  (data?tab=chart&amp;symbol=SPY&amp;osc=macd)</w:t>
            </w:r>
          </w:p>
          <w:p>
            <w:pPr>
              <w:keepNext/>
              <w:spacing w:after="40" w:line="252" w:lineRule="auto"/>
            </w:pPr>
            <w:r>
              <w:rPr>
                <w:rFonts w:ascii="Arial" w:hAnsi="Arial"/>
                <w:b w:val="0"/>
                <w:color w:val="444A54"/>
                <w:sz w:val="18"/>
              </w:rPr>
              <w:t>Step 3. Export Pine Script v6  (strategies?key=ema_cross)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chart with overlays and an oscillator pane, and a Pine Script pasted into TradingView whose values match.</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tc>
      </w:tr>
    </w:tbl>
    <w:p>
      <w:pPr>
        <w:pStyle w:val="Heading3"/>
      </w:pPr>
      <w:r>
        <w:t>Lab 6: Strategy Prototype: TradingView Strategy Tester, Paper Trading from the Chart and Pipeline Reconciliation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A3, K3, K7  |  30 min  |  slide 127</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labs_lowcode/Lab06-pine-strategy-tester/Lab06_Instructions.pdf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same MA-crossover in TradingView's Strategy Tester and in the app, reconcile the results, and try TradingView Paper Trading.</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Backtest the SMA 50/200 crossover in the app  (backtest?strategy=sma_cross&amp;symbols=SPY&amp;fast=50&amp;slow=200&amp;costs=alpaca_retail)</w:t>
            </w:r>
          </w:p>
          <w:p>
            <w:pPr>
              <w:keepNext/>
              <w:spacing w:after="40" w:line="252" w:lineRule="auto"/>
            </w:pPr>
            <w:r>
              <w:rPr>
                <w:rFonts w:ascii="Arial" w:hAnsi="Arial"/>
                <w:b w:val="0"/>
                <w:color w:val="444A54"/>
                <w:sz w:val="18"/>
              </w:rPr>
              <w:t>Step 2. Run it in TradingView  (strategies?key=sma_cross)</w:t>
            </w:r>
          </w:p>
          <w:p>
            <w:pPr>
              <w:keepNext/>
              <w:spacing w:after="40" w:line="252" w:lineRule="auto"/>
            </w:pPr>
            <w:r>
              <w:rPr>
                <w:rFonts w:ascii="Arial" w:hAnsi="Arial"/>
                <w:b w:val="0"/>
                <w:color w:val="444A54"/>
                <w:sz w:val="18"/>
              </w:rPr>
              <w:t>Step 3. Reconcile and paper trade on TradingView  (backtest?strategy=sma_cross&amp;symbols=SPY&amp;fast=50&amp;slow=200&amp;costs=alpaca_retail)</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Trade counts and net profit that agree within the expected differences (fills, costs, data).</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tc>
      </w:tr>
    </w:tbl>
    <w:p>
      <w:pPr>
        <w:pStyle w:val="Heading3"/>
      </w:pPr>
      <w:r>
        <w:t>Lab 7: Signal Stage: a Library of Trend, Mean-Reversion, Momentum and Breakout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K3, K7  |  25 min  |  slide 131</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labs_lowcode/Lab07-technical-indicators/Lab07_Instructions.pdf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Pick and customise one strategy from each family and compare them after costs.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Trend: EMA 20/50 on SPY  (backtest?strategy=ema_cross&amp;symbols=SPY&amp;fast=20&amp;slow=50&amp;costs=alpaca_retail)</w:t>
            </w:r>
          </w:p>
          <w:p>
            <w:pPr>
              <w:keepNext/>
              <w:spacing w:after="40" w:line="252" w:lineRule="auto"/>
            </w:pPr>
            <w:r>
              <w:rPr>
                <w:rFonts w:ascii="Arial" w:hAnsi="Arial"/>
                <w:b w:val="0"/>
                <w:color w:val="444A54"/>
                <w:sz w:val="18"/>
              </w:rPr>
              <w:t>Step 2. Mean reversion: Bollinger on KO  (backtest?strategy=bollinger_reversion&amp;symbols=KO&amp;window=20&amp;k=2)</w:t>
            </w:r>
          </w:p>
          <w:p>
            <w:pPr>
              <w:keepNext/>
              <w:spacing w:after="40" w:line="252" w:lineRule="auto"/>
            </w:pPr>
            <w:r>
              <w:rPr>
                <w:rFonts w:ascii="Arial" w:hAnsi="Arial"/>
                <w:b w:val="0"/>
                <w:color w:val="444A54"/>
                <w:sz w:val="18"/>
              </w:rPr>
              <w:t>Step 3. Momentum and breakout  (backtest?strategy=donchian_breakout&amp;symbols=QQQ&amp;entry=20&amp;exit=10)</w:t>
            </w:r>
          </w:p>
          <w:p>
            <w:pPr>
              <w:keepNext/>
              <w:spacing w:after="40" w:line="252" w:lineRule="auto"/>
            </w:pPr>
            <w:r>
              <w:rPr>
                <w:rFonts w:ascii="Arial" w:hAnsi="Arial"/>
                <w:b w:val="0"/>
                <w:color w:val="444A54"/>
                <w:sz w:val="18"/>
              </w:rPr>
              <w:t>Step 4. Read each strategy's explanation  (strategies)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Four backtests with tuned parameters and an explanation of when each family works.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tc>
      </w:tr>
    </w:tbl>
    <w:p>
      <w:pPr>
        <w:pStyle w:val="Heading3"/>
      </w:pPr>
      <w:r>
        <w:t>Lab 8: Execution Stage: an Order Manager that Trades the Paper Account in Any Session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  30 min  |  slide 134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labs_lowcode/Lab08-paper-orders/Lab08_Instructions.pdf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Place market, limit, stop and bracket paper orders, including an extended-hours limit order, and follow each order's lifecycle.</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Market order in the regular session  (trading?tab=ticket)</w:t>
            </w:r>
          </w:p>
          <w:p>
            <w:pPr>
              <w:keepNext/>
              <w:spacing w:after="40" w:line="252" w:lineRule="auto"/>
            </w:pPr>
            <w:r>
              <w:rPr>
                <w:rFonts w:ascii="Arial" w:hAnsi="Arial"/>
                <w:b w:val="0"/>
                <w:color w:val="444A54"/>
                <w:sz w:val="18"/>
              </w:rPr>
              <w:t>Step 2. Extended-hours limit order (Singapore class hours)  (trading?tab=ticket)</w:t>
            </w:r>
          </w:p>
          <w:p>
            <w:pPr>
              <w:keepNext/>
              <w:spacing w:after="40" w:line="252" w:lineRule="auto"/>
            </w:pPr>
            <w:r>
              <w:rPr>
                <w:rFonts w:ascii="Arial" w:hAnsi="Arial"/>
                <w:b w:val="0"/>
                <w:color w:val="444A54"/>
                <w:sz w:val="18"/>
              </w:rPr>
              <w:t>Step 3. Bracket order  (trading?tab=ticket)</w:t>
            </w:r>
          </w:p>
          <w:p>
            <w:pPr>
              <w:keepNext/>
              <w:spacing w:after="40" w:line="252" w:lineRule="auto"/>
            </w:pPr>
            <w:r>
              <w:rPr>
                <w:rFonts w:ascii="Arial" w:hAnsi="Arial"/>
                <w:b w:val="0"/>
                <w:color w:val="444A54"/>
                <w:sz w:val="18"/>
              </w:rPr>
              <w:t>Step 4. Queue while closed and cancel  (trading?tab=ticket)</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blotter with filled, working, queued and cancelled orders and the risk checks for each.</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tc>
      </w:tr>
    </w:tbl>
    <w:p>
      <w:pPr>
        <w:pStyle w:val="Heading3"/>
      </w:pPr>
      <w:r>
        <w:t>Lab 9: Evaluation Stage: Performance and Risk Metrics with a Benchmark Table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  25 min  |  slide 138</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labs_lowcode/Lab09-performance-metrics/Lab09_Instructions.pdf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Read the full metrics table and compare a strategy with buy-and-hold.</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Open the analytics  (analytics)</w:t>
            </w:r>
          </w:p>
          <w:p>
            <w:pPr>
              <w:keepNext/>
              <w:spacing w:after="40" w:line="252" w:lineRule="auto"/>
            </w:pPr>
            <w:r>
              <w:rPr>
                <w:rFonts w:ascii="Arial" w:hAnsi="Arial"/>
                <w:b w:val="0"/>
                <w:color w:val="444A54"/>
                <w:sz w:val="18"/>
              </w:rPr>
              <w:t>Step 2. Compare with buy-and-hold  (analytics)</w:t>
            </w:r>
          </w:p>
          <w:p>
            <w:pPr>
              <w:keepNext/>
              <w:spacing w:after="40" w:line="252" w:lineRule="auto"/>
            </w:pPr>
            <w:r>
              <w:rPr>
                <w:rFonts w:ascii="Arial" w:hAnsi="Arial"/>
                <w:b w:val="0"/>
                <w:color w:val="444A54"/>
                <w:sz w:val="18"/>
              </w:rPr>
              <w:t>Step 3. Glossary  (help?tab=glossary)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metrics table you can explain line by line.</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tc>
      </w:tr>
    </w:tbl>
    <w:p>
      <w:bookmarkStart w:id="910" w:name="_Toc909"/>
      <w:pPr>
        <w:pStyle w:val="Heading2"/>
      </w:pPr>
      <w:r>
        <w:t>Topic 3: Machine Learning Models, Statistical Modelling and A/B Testing for Trading Signals</w:t>
      </w:r>
      <w:bookmarkEnd w:id="910"/>
    </w:p>
    <w:p>
      <w:pPr>
        <w:spacing w:after="120"/>
      </w:pPr>
      <w:r>
        <w:rPr>
          <w:rFonts w:ascii="Arial" w:hAnsi="Arial"/>
          <w:b/>
          <w:i w:val="0"/>
          <w:color w:val="E87122"/>
          <w:sz w:val="19"/>
        </w:rPr>
        <w:t>Day 2  |  Slides 143-171  |  A4, A5, K2, K4, K6  |  Labs 10-14</w:t>
      </w:r>
    </w:p>
    <w:p>
      <w:pPr>
        <w:spacing w:after="120"/>
      </w:pPr>
      <w:r>
        <w:rPr>
          <w:rFonts w:ascii="Arial" w:hAnsi="Arial"/>
          <w:b w:val="0"/>
          <w:i w:val="0"/>
          <w:color w:val="444A54"/>
          <w:sz w:val="21"/>
        </w:rPr>
        <w:t>Learning outcome: Conduct statistical modelling of market data with machine learning models to derive patterns and solutions, and perform A/B testing of trading strategies based on different hypotheses.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3.1 Types of Statistical Analyses, Data Models, Algorithms and Computational Methods (K2, A2): 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0"/>
        </w:rPr>
        <w:t>3.2 Supervised Learning Models for Trading Signals (K4, A4): 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0"/>
        </w:rPr>
        <w:t>3.3 Unsupervised Learning: Clustering and PCA for Market Regimes (K4, A4): 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0"/>
        </w:rPr>
        <w:t>3.4 Statistical Modelling Techniques for Financial Time Series (K6, A4): 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0"/>
        </w:rPr>
        <w:t>3.5 A/B Testing Trading Strategies (A5, K2): 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0"/>
        </w:rPr>
        <w:t>3.6 Pairs Trading: Statistical Arbitrage as a Hedging Algorithm (K6, A4): 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Show the strategy-search heatmap from Lab 10 and ask: 'Which cell would you trade?' Then show out-of-sample decay - the best in-sample cell is rarely best afterwards.</w:t>
      </w:r>
    </w:p>
    <w:p>
      <w:pPr>
        <w:pStyle w:val="ListBullet"/>
        <w:spacing w:after="60"/>
        <w:ind w:left="432"/>
      </w:pPr>
      <w:r>
        <w:rPr>
          <w:rFonts w:ascii="Arial" w:hAnsi="Arial"/>
          <w:color w:val="444A54"/>
          <w:sz w:val="20"/>
        </w:rPr>
        <w:t>In Lab 11, accuracy near 50-55% is normal for daily direction; the point is the net-of-cost strategy, not the accuracy.</w:t>
      </w:r>
    </w:p>
    <w:p>
      <w:pPr>
        <w:pStyle w:val="ListBullet"/>
        <w:spacing w:after="60"/>
        <w:ind w:left="432"/>
      </w:pPr>
      <w:r>
        <w:rPr>
          <w:rFonts w:ascii="Arial" w:hAnsi="Arial"/>
          <w:color w:val="444A54"/>
          <w:sz w:val="20"/>
        </w:rPr>
        <w:t>For the A/B test, make learners write H0, H1 and alpha BEFORE running Lab 13. This is a CRITICAL marking point in PP Task 3.</w:t>
      </w:r>
    </w:p>
    <w:p>
      <w:pPr>
        <w:pStyle w:val="ListBullet"/>
        <w:spacing w:after="60"/>
        <w:ind w:left="432"/>
      </w:pPr>
      <w:r>
        <w:rPr>
          <w:rFonts w:ascii="Arial" w:hAnsi="Arial"/>
          <w:color w:val="444A54"/>
          <w:sz w:val="20"/>
        </w:rPr>
        <w:t>In Lab 14 show that JPM/BAC is 93% correlated yet NOT cointegrated, and that the KO/PEP hedge leaves almost no market beta even though the pair lost money after 2022 - the hedge works, the edge did not persist.</w:t>
      </w:r>
    </w:p>
    <w:p>
      <w:pPr>
        <w:pStyle w:val="Heading3"/>
      </w:pPr>
      <w:r>
        <w:t>Lab 10: Strategy-Search Stage: Grid Search, Out-of-Sample Ranking and Decay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A4, K2  |  20 min  |  slide 161</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labs_lowcode/Lab10-strategy-grid-search/Lab10_Instructions.pdf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Grid-search SMA crossover parameters in-sample and measure how the ranking decays out of sample.</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Run the grid  (research/grid?strategy=sma_cross&amp;symbol=SPY)</w:t>
            </w:r>
          </w:p>
          <w:p>
            <w:pPr>
              <w:keepNext/>
              <w:spacing w:after="40" w:line="252" w:lineRule="auto"/>
            </w:pPr>
            <w:r>
              <w:rPr>
                <w:rFonts w:ascii="Arial" w:hAnsi="Arial"/>
                <w:b w:val="0"/>
                <w:color w:val="444A54"/>
                <w:sz w:val="18"/>
              </w:rPr>
              <w:t>Step 2. Read the decay  (research/grid)</w:t>
            </w:r>
          </w:p>
          <w:p>
            <w:pPr>
              <w:keepNext/>
              <w:spacing w:after="40" w:line="252" w:lineRule="auto"/>
            </w:pPr>
            <w:r>
              <w:rPr>
                <w:rFonts w:ascii="Arial" w:hAnsi="Arial"/>
                <w:b w:val="0"/>
                <w:color w:val="444A54"/>
                <w:sz w:val="18"/>
              </w:rPr>
              <w:t>Step 3. Walk-forward  (research/walkforward?strategy=sma_cross)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IS and OOS Sharpe heatmaps, a rank correlation and a robust parameter region.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tc>
      </w:tr>
    </w:tbl>
    <w:p>
      <w:pPr>
        <w:pStyle w:val="Heading3"/>
      </w:pPr>
      <w:r>
        <w:t>Lab 11: ML-Signal Stage: a Walk-Forward Classifier from Probability to Position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20 min  |  slide 163</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labs_lowcode/Lab11-ml-signal-classifier/Lab11_Instructions.pdf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Train logistic regression, random forest and XGBoost walk-forward and trade P(up) &gt; threshold.</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Train the classifiers  (research/ml)</w:t>
            </w:r>
          </w:p>
          <w:p>
            <w:pPr>
              <w:keepNext/>
              <w:spacing w:after="40" w:line="252" w:lineRule="auto"/>
            </w:pPr>
            <w:r>
              <w:rPr>
                <w:rFonts w:ascii="Arial" w:hAnsi="Arial"/>
                <w:b w:val="0"/>
                <w:color w:val="444A54"/>
                <w:sz w:val="18"/>
              </w:rPr>
              <w:t>Step 2. Backtest an ML strategy  (backtest?strategy=ml_xgboost&amp;symbols=SPY)</w:t>
            </w:r>
          </w:p>
          <w:p>
            <w:pPr>
              <w:keepNext/>
              <w:spacing w:after="40" w:line="252" w:lineRule="auto"/>
            </w:pPr>
            <w:r>
              <w:rPr>
                <w:rFonts w:ascii="Arial" w:hAnsi="Arial"/>
                <w:b w:val="0"/>
                <w:color w:val="444A54"/>
                <w:sz w:val="18"/>
              </w:rPr>
              <w:t>Step 3. Check for leakage  (research/diagnostics?strategy=ml_logistic)</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Accuracy / AUC table, feature importance and a net-of-cost backtest of the ML signal.</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tc>
      </w:tr>
    </w:tbl>
    <w:p>
      <w:pPr>
        <w:pStyle w:val="Heading3"/>
      </w:pPr>
      <w:r>
        <w:t>Lab 12: Regime-Filter Stage: PCA and K-Means as a Gate on the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15 min  |  slide 165</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labs_lowcode/Lab12-market-regimes/Lab12_Instructions.pdf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Find market regimes with walk-forward K-means and gate a signal in the high-volatility regime.</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Analyse regimes  (research/regime)</w:t>
            </w:r>
          </w:p>
          <w:p>
            <w:pPr>
              <w:keepNext/>
              <w:spacing w:after="40" w:line="252" w:lineRule="auto"/>
            </w:pPr>
            <w:r>
              <w:rPr>
                <w:rFonts w:ascii="Arial" w:hAnsi="Arial"/>
                <w:b w:val="0"/>
                <w:color w:val="444A54"/>
                <w:sz w:val="18"/>
              </w:rPr>
              <w:t>Step 2. Backtest the regime-filtered strategy  (backtest?strategy=regime_filtered&amp;symbols=SPY)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PCA explained variance, a regime timeline and gated vs ungated performance.</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tc>
      </w:tr>
    </w:tbl>
    <w:p>
      <w:pPr>
        <w:pStyle w:val="Heading3"/>
      </w:pPr>
      <w:r>
        <w:t>Lab 13: A/B-Test Stage: a Statistical Decision before Capital Moves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A5, K2  |  15 min  |  slide 167</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labs_lowcode/Lab13-ab-testing/Lab13_Instructions.pdf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Decide statistically between two variants before moving capital.</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Run the A/B test  (research/abtest?a=trend_filter&amp;b=dip_buy)</w:t>
            </w:r>
          </w:p>
          <w:p>
            <w:pPr>
              <w:keepNext/>
              <w:spacing w:after="40" w:line="252" w:lineRule="auto"/>
            </w:pPr>
            <w:r>
              <w:rPr>
                <w:rFonts w:ascii="Arial" w:hAnsi="Arial"/>
                <w:b w:val="0"/>
                <w:color w:val="444A54"/>
                <w:sz w:val="18"/>
              </w:rPr>
              <w:t>Step 2. Your own variants  (research/abtest?a=ema_cross&amp;b=ema_cross)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Welch and paired t-tests, a bootstrap Sharpe CI and a decision with a multiple-testing caution.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tc>
      </w:tr>
    </w:tbl>
    <w:p>
      <w:pPr>
        <w:pStyle w:val="Heading3"/>
      </w:pPr>
      <w:r>
        <w:t>Lab 14: Pairs Stage: a Hedged, Market-Neutral Statistical-Arbitrage Sleeve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K6  |  20 min  |  slide 169</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labs_lowcode/Lab14-pairs-trading/Lab14_Instructions.pdf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Screen pairs for cointegration and backtest a market-neutral KO/PEP spread.</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Screen the pairs  (research/pairs)</w:t>
            </w:r>
          </w:p>
          <w:p>
            <w:pPr>
              <w:keepNext/>
              <w:spacing w:after="40" w:line="252" w:lineRule="auto"/>
            </w:pPr>
            <w:r>
              <w:rPr>
                <w:rFonts w:ascii="Arial" w:hAnsi="Arial"/>
                <w:b w:val="0"/>
                <w:color w:val="444A54"/>
                <w:sz w:val="18"/>
              </w:rPr>
              <w:t>Step 2. Backtest KO/PEP  (backtest?strategy=pairs_cointegration&amp;symbols=KO,PEP)</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An Engle-Granger screen and a pairs backtest with beta near zero.</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tc>
      </w:tr>
    </w:tbl>
    <w:p>
      <w:bookmarkStart w:id="911" w:name="_Toc910"/>
      <w:pPr>
        <w:pStyle w:val="Heading2"/>
      </w:pPr>
      <w:r>
        <w:t>Topic 4: Building an End-to-End Algorithmic Trading Pipeline: Backtest, Forward Test and Performance Analysis</w:t>
      </w:r>
      <w:bookmarkEnd w:id="911"/>
    </w:p>
    <w:p>
      <w:pPr>
        <w:spacing w:after="120"/>
      </w:pPr>
      <w:r>
        <w:rPr>
          <w:rFonts w:ascii="Arial" w:hAnsi="Arial"/>
          <w:b/>
          <w:i w:val="0"/>
          <w:color w:val="E87122"/>
          <w:sz w:val="19"/>
        </w:rPr>
        <w:t>Day 2  |  Slides 172-196  |  A7, A8, A9, A10, K7, K8  |  Labs 15-20</w:t>
      </w:r>
    </w:p>
    <w:p>
      <w:pPr>
        <w:spacing w:after="120"/>
      </w:pPr>
      <w:r>
        <w:rPr>
          <w:rFonts w:ascii="Arial" w:hAnsi="Arial"/>
          <w:b w:val="0"/>
          <w:i w:val="0"/>
          <w:color w:val="444A54"/>
          <w:sz w:val="21"/>
        </w:rPr>
        <w:t>Learning outcome: Perform coding and configuration of an automated trading program based on selected models or algorithms, conduct tests on its actions and outcomes, diagnose unintended outcomes, and draw insights from the results to support decisions and report accordingly.</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4.1 Architecture of an End-to-End Algorithmic Trading Pipeline (A7, K7): 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0"/>
        </w:rPr>
        <w:t>4.2 Backtesting with Realistic Trading Costs (A8, K7): 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0"/>
        </w:rPr>
        <w:t>4.3 Forward Testing with Automated Paper Trading (A7, A8): 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0"/>
        </w:rPr>
        <w:t>4.4 Potential Reasons for Unintended Outcomes and How to Diagnose Them (A9, K8): 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0"/>
        </w:rPr>
        <w:t>4.5 Performance Analysis, Insights and Reporting (A10): A tearsheet presents the equity curve against the benchmark, the drawdown chart, monthly returns, rolling Sharpe ratio, the metrics table and the cost breakdown on one page.</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Draw the pipeline on the whiteboard first; every Topic 4 lab is one box of it.</w:t>
      </w:r>
    </w:p>
    <w:p>
      <w:pPr>
        <w:pStyle w:val="ListBullet"/>
        <w:spacing w:after="60"/>
        <w:ind w:left="432"/>
      </w:pPr>
      <w:r>
        <w:rPr>
          <w:rFonts w:ascii="Arial" w:hAnsi="Arial"/>
          <w:color w:val="444A54"/>
          <w:sz w:val="20"/>
        </w:rPr>
        <w:t>In Lab 16, run the bot once together in offline replay, then let learners with keys run it against their paper account during market hours if the class time overlaps US trading hours (21:30-04:00 SGT, 22:30-05:00 in northern winter).</w:t>
      </w:r>
    </w:p>
    <w:p>
      <w:pPr>
        <w:pStyle w:val="ListBullet"/>
        <w:spacing w:after="60"/>
        <w:ind w:left="432"/>
      </w:pPr>
      <w:r>
        <w:rPr>
          <w:rFonts w:ascii="Arial" w:hAnsi="Arial"/>
          <w:color w:val="444A54"/>
          <w:sz w:val="20"/>
        </w:rPr>
        <w:t>Lab 18 contains seeded faults: do not reveal them. Prompt with 'Is this result too good?' and 'On which bar was this order actually filled?'</w:t>
      </w:r>
    </w:p>
    <w:p>
      <w:pPr>
        <w:pStyle w:val="ListBullet"/>
        <w:spacing w:after="60"/>
        <w:ind w:left="432"/>
      </w:pPr>
      <w:r>
        <w:rPr>
          <w:rFonts w:ascii="Arial" w:hAnsi="Arial"/>
          <w:color w:val="444A54"/>
          <w:sz w:val="20"/>
        </w:rPr>
        <w:t>In Lab 20 stress that the LLM never bypasses the coded risk manager, and that every decision is logged - the governance message of Topic 1, implemented.</w:t>
      </w:r>
    </w:p>
    <w:p>
      <w:pPr>
        <w:pStyle w:val="Heading3"/>
      </w:pPr>
      <w:r>
        <w:t>Lab 15: Backtest-Engine Stage: Cost Models, Execution Timing and Break-Even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184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labs_lowcode/Lab15-trading-costs/Lab15_Instructions.pdf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same strategy under four cost models and find its break-even cost.</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Zero vs Alpaca vs high-cost  (backtest?strategy=dip_buy&amp;symbols=SPY&amp;costs=high_cost)</w:t>
            </w:r>
          </w:p>
          <w:p>
            <w:pPr>
              <w:keepNext/>
              <w:spacing w:after="40" w:line="252" w:lineRule="auto"/>
            </w:pPr>
            <w:r>
              <w:rPr>
                <w:rFonts w:ascii="Arial" w:hAnsi="Arial"/>
                <w:b w:val="0"/>
                <w:color w:val="444A54"/>
                <w:sz w:val="18"/>
              </w:rPr>
              <w:t>Step 2. Break-even and execution timing  (backtest?strategy=dip_buy&amp;symbols=SPY&amp;execution=next_close)</w:t>
            </w:r>
          </w:p>
          <w:p>
            <w:pPr>
              <w:keepNext/>
              <w:spacing w:after="40" w:line="252" w:lineRule="auto"/>
            </w:pPr>
            <w:r>
              <w:rPr>
                <w:rFonts w:ascii="Arial" w:hAnsi="Arial"/>
                <w:b w:val="0"/>
                <w:color w:val="444A54"/>
                <w:sz w:val="18"/>
              </w:rPr>
              <w:t>Step 3. Stops and sizing  (backtest?strategy=ema_cross&amp;symbols=SPY&amp;fast=20&amp;slow=50&amp;stop_loss_pct=5&amp;sizing=vol_target)</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Gross vs net CAGR, a cost breakdown and the break-even bps.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tc>
      </w:tr>
    </w:tbl>
    <w:p>
      <w:pPr>
        <w:pStyle w:val="Heading3"/>
      </w:pPr>
      <w:r>
        <w:t>Lab 16: Automation Stage: a Scheduled, Risk-Checked Forward Test and Live Paper Trading</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186</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labs_lowcode/Lab16-paper-trading-bot/Lab16_Instructions.pdf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Create a bot, run it on a schedule, watch orders, positions and P&amp;L live, and halt it with the kill switch.</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Create the bot  (trading?new=1&amp;strategy=ema_cross)</w:t>
            </w:r>
          </w:p>
          <w:p>
            <w:pPr>
              <w:keepNext/>
              <w:spacing w:after="40" w:line="252" w:lineRule="auto"/>
            </w:pPr>
            <w:r>
              <w:rPr>
                <w:rFonts w:ascii="Arial" w:hAnsi="Arial"/>
                <w:b w:val="0"/>
                <w:color w:val="444A54"/>
                <w:sz w:val="18"/>
              </w:rPr>
              <w:t>Step 2. Start it and watch  (trading)</w:t>
            </w:r>
          </w:p>
          <w:p>
            <w:pPr>
              <w:keepNext/>
              <w:spacing w:after="40" w:line="252" w:lineRule="auto"/>
            </w:pPr>
            <w:r>
              <w:rPr>
                <w:rFonts w:ascii="Arial" w:hAnsi="Arial"/>
                <w:b w:val="0"/>
                <w:color w:val="444A54"/>
                <w:sz w:val="18"/>
              </w:rPr>
              <w:t>Step 3. Kill switch  (trading)</w:t>
            </w:r>
          </w:p>
          <w:p>
            <w:pPr>
              <w:keepNext/>
              <w:spacing w:after="40" w:line="252" w:lineRule="auto"/>
            </w:pPr>
            <w:r>
              <w:rPr>
                <w:rFonts w:ascii="Arial" w:hAnsi="Arial"/>
                <w:b w:val="0"/>
                <w:color w:val="444A54"/>
                <w:sz w:val="18"/>
              </w:rPr>
              <w:t>Step 4. Backtest vs forward  (trading)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bot equity curve, a blotter of its orders, a backtest-vs-forward comparison and a tested kill switch.</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tc>
      </w:tr>
    </w:tbl>
    <w:p>
      <w:pPr>
        <w:pStyle w:val="Heading3"/>
      </w:pPr>
      <w:r>
        <w:t>Lab 17: Event-Driven Automation: TradingView Webhook to Signal, Risk and Execution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K5, K7  |  20 min  |  slide 188</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labs_lowcode/Lab17-tradingview-webhook/Lab17_Instructions.pdf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Send TradingView alerts to the app's webhook and see them pass validation, signal confirmation and risk into paper orders.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Copy the alert template  (integrations)</w:t>
            </w:r>
          </w:p>
          <w:p>
            <w:pPr>
              <w:keepNext/>
              <w:spacing w:after="40" w:line="252" w:lineRule="auto"/>
            </w:pPr>
            <w:r>
              <w:rPr>
                <w:rFonts w:ascii="Arial" w:hAnsi="Arial"/>
                <w:b w:val="0"/>
                <w:color w:val="444A54"/>
                <w:sz w:val="18"/>
              </w:rPr>
              <w:t>Step 2. Run the self-test  (integrations)</w:t>
            </w:r>
          </w:p>
          <w:p>
            <w:pPr>
              <w:keepNext/>
              <w:spacing w:after="40" w:line="252" w:lineRule="auto"/>
            </w:pPr>
            <w:r>
              <w:rPr>
                <w:rFonts w:ascii="Arial" w:hAnsi="Arial"/>
                <w:b w:val="0"/>
                <w:color w:val="444A54"/>
                <w:sz w:val="18"/>
              </w:rPr>
              <w:t>Step 3. Real alerts (paid TradingView plan)  (integrations)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7 simulated alerts handled as expected and the audit log.</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tc>
      </w:tr>
    </w:tbl>
    <w:p>
      <w:pPr>
        <w:pStyle w:val="Heading3"/>
      </w:pPr>
      <w:r>
        <w:t>Lab 18: Diagnostics Stage: Automated Bias Checks before Go-Live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A9, K8  |  20 min  |  slide 190</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labs_lowcode/Lab18-diagnose-bias/Lab18_Instructions.pdf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automated diagnostics on a deliberately biased strategy, fix it, and re-run.</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Diagnose the biased exhibit  (research/diagnostics?strategy=custom_lab18_biased_smoothed_momentum)</w:t>
            </w:r>
          </w:p>
          <w:p>
            <w:pPr>
              <w:keepNext/>
              <w:spacing w:after="40" w:line="252" w:lineRule="auto"/>
            </w:pPr>
            <w:r>
              <w:rPr>
                <w:rFonts w:ascii="Arial" w:hAnsi="Arial"/>
                <w:b w:val="0"/>
                <w:color w:val="444A54"/>
                <w:sz w:val="18"/>
              </w:rPr>
              <w:t>Step 2. Fix it in the Strategy Builder  (builder?key=custom_lab18_biased_smoothed_momentum)</w:t>
            </w:r>
          </w:p>
          <w:p>
            <w:pPr>
              <w:keepNext/>
              <w:spacing w:after="40" w:line="252" w:lineRule="auto"/>
            </w:pPr>
            <w:r>
              <w:rPr>
                <w:rFonts w:ascii="Arial" w:hAnsi="Arial"/>
                <w:b w:val="0"/>
                <w:color w:val="444A54"/>
                <w:sz w:val="18"/>
              </w:rPr>
              <w:t>Step 3. Re-run diagnostics  (research/diagnostics?strategy=custom_lab18_biased_smoothed_momentum)</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FAIL on the biased exhibit, a PASS / WARN table for the fixed version and a verdict.</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tc>
      </w:tr>
    </w:tbl>
    <w:p>
      <w:pPr>
        <w:pStyle w:val="Heading3"/>
      </w:pPr>
      <w:r>
        <w:t>Lab 19: Monitoring and Reporting Stage: Automated Tearsheet and Backtest-vs-Forward Report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A8, A10  |  25 min  |  slide 192</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labs_lowcode/Lab19-performance-report/Lab19_Instructions.pdf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Produce a one-page tearsheet and explain the gap between backtest and forward test.</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Export the tearsheet  (analytics)</w:t>
            </w:r>
          </w:p>
          <w:p>
            <w:pPr>
              <w:keepNext/>
              <w:spacing w:after="40" w:line="252" w:lineRule="auto"/>
            </w:pPr>
            <w:r>
              <w:rPr>
                <w:rFonts w:ascii="Arial" w:hAnsi="Arial"/>
                <w:b w:val="0"/>
                <w:color w:val="444A54"/>
                <w:sz w:val="18"/>
              </w:rPr>
              <w:t>Step 2. Backtest vs forward  (analytics)</w:t>
            </w:r>
          </w:p>
          <w:p>
            <w:pPr>
              <w:keepNext/>
              <w:spacing w:after="40" w:line="252" w:lineRule="auto"/>
            </w:pPr>
            <w:r>
              <w:rPr>
                <w:rFonts w:ascii="Arial" w:hAnsi="Arial"/>
                <w:b w:val="0"/>
                <w:color w:val="444A54"/>
                <w:sz w:val="18"/>
              </w:rPr>
              <w:t>Step 3. Draw insights  (analytics)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PDF tearsheet and a written explanation of the backtest-vs-forward differences.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tc>
      </w:tr>
    </w:tbl>
    <w:p>
      <w:pPr>
        <w:pStyle w:val="Heading3"/>
      </w:pPr>
      <w:r>
        <w:t>Lab 20: Capstone: One Command Runs the Pipeline End to End, with an Agentic Layer and Human Approval</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A10, K1  |  20 min  |  slide 194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labs_lowcode/Lab20-agentic-capstone/Lab20_Instructions.pdf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whole pipeline end to end, get a human-approved proposal from the multi-agent desk, switch on the always-on agent, and create, backtest and forward-test your own strategy (from a template or written for you by AI).</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Run the multi-agent desk  (agents)</w:t>
            </w:r>
          </w:p>
          <w:p>
            <w:pPr>
              <w:keepNext/>
              <w:spacing w:after="40" w:line="252" w:lineRule="auto"/>
            </w:pPr>
            <w:r>
              <w:rPr>
                <w:rFonts w:ascii="Arial" w:hAnsi="Arial"/>
                <w:b w:val="0"/>
                <w:color w:val="444A54"/>
                <w:sz w:val="18"/>
              </w:rPr>
              <w:t>Step 2. Human approval  (agents)</w:t>
            </w:r>
          </w:p>
          <w:p>
            <w:pPr>
              <w:keepNext/>
              <w:spacing w:after="40" w:line="252" w:lineRule="auto"/>
            </w:pPr>
            <w:r>
              <w:rPr>
                <w:rFonts w:ascii="Arial" w:hAnsi="Arial"/>
                <w:b w:val="0"/>
                <w:color w:val="444A54"/>
                <w:sz w:val="18"/>
              </w:rPr>
              <w:t>Step 3. Always-on agent  (agents)</w:t>
            </w:r>
          </w:p>
          <w:p>
            <w:pPr>
              <w:keepNext/>
              <w:spacing w:after="40" w:line="252" w:lineRule="auto"/>
            </w:pPr>
            <w:r>
              <w:rPr>
                <w:rFonts w:ascii="Arial" w:hAnsi="Arial"/>
                <w:b w:val="0"/>
                <w:color w:val="444A54"/>
                <w:sz w:val="18"/>
              </w:rPr>
              <w:t>Step 4. Create your own strategy  (builder?template=ema_rsi)</w:t>
            </w:r>
          </w:p>
          <w:p>
            <w:pPr>
              <w:keepNext/>
              <w:spacing w:after="40" w:line="252" w:lineRule="auto"/>
            </w:pPr>
            <w:r>
              <w:rPr>
                <w:rFonts w:ascii="Arial" w:hAnsi="Arial"/>
                <w:b w:val="0"/>
                <w:color w:val="444A54"/>
                <w:sz w:val="18"/>
              </w:rPr>
              <w:t>Step 5. Backtest, diagnose and forward-test it  (trading?new=1)</w:t>
            </w:r>
          </w:p>
          <w:p>
            <w:pPr>
              <w:keepNext/>
              <w:spacing w:after="40" w:line="252" w:lineRule="auto"/>
            </w:pPr>
            <w:r>
              <w:rPr>
                <w:rFonts w:ascii="Arial" w:hAnsi="Arial"/>
                <w:b w:val="0"/>
                <w:color w:val="444A54"/>
                <w:sz w:val="18"/>
              </w:rPr>
              <w:t>Step 6. End-to-end on the Pipeline Map  (pipeline)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Pipeline Map with every stage green, an approved agent proposal with its decision trace, and your custom strategy trading on paper.</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tc>
      </w:tr>
    </w:tbl>
    <w:p>
      <w:bookmarkStart w:id="912" w:name="_Toc911"/>
      <w:pPr>
        <w:pStyle w:val="Heading1"/>
      </w:pPr>
      <w:r>
        <w:t>5.  Assessment Administration</w:t>
      </w:r>
      <w:bookmarkEnd w:id="912"/>
    </w:p>
    <w:p>
      <w:pPr>
        <w:spacing w:after="120"/>
      </w:pPr>
      <w:r>
        <w:rPr>
          <w:rFonts w:ascii="Arial" w:hAnsi="Arial"/>
          <w:b w:val="0"/>
          <w:i w:val="0"/>
          <w:color w:val="444A54"/>
          <w:sz w:val="22"/>
        </w:rPr>
        <w:t>The Assessment Plan is the governing document for the assessment; this section summarises what the trainer-assessor does on the day.</w:t>
      </w:r>
    </w:p>
    <w:tbl>
      <w:tblPr>
        <w:tblStyle w:val="TableGrid"/>
        <w:tblW w:type="auto" w:w="0"/>
        <w:jc w:val="center"/>
        <w:tblLook w:firstColumn="1" w:firstRow="1" w:lastColumn="0" w:lastRow="0" w:noHBand="0" w:noVBand="1" w:val="04A0"/>
        <w:tblLayout w:type="fixed"/>
      </w:tblPr>
      <w:tblGrid>
        <w:gridCol w:w="2592"/>
        <w:gridCol w:w="1152"/>
        <w:gridCol w:w="2015"/>
        <w:gridCol w:w="3311"/>
        <w:gridCol w:w="864"/>
      </w:tblGrid>
      <w:tr>
        <w:trPr>
          <w:tblHeader w:val="true"/>
        </w:trPr>
        <w:tc>
          <w:tcPr>
            <w:tcW w:type="dxa" w:w="2592"/>
            <w:shd w:val="clear" w:fill="1F3864"/>
          </w:tcPr>
          <w:p>
            <w:pPr>
              <w:keepNext/>
              <w:spacing w:after="40" w:before="40" w:line="252" w:lineRule="auto"/>
              <w:jc w:val="center"/>
            </w:pPr>
            <w:r/>
            <w:r>
              <w:rPr>
                <w:rFonts w:ascii="Arial" w:hAnsi="Arial"/>
                <w:b/>
                <w:color w:val="FFFFFF"/>
                <w:sz w:val="19"/>
              </w:rPr>
              <w:t>Component</w:t>
            </w:r>
          </w:p>
        </w:tc>
        <w:tc>
          <w:tcPr>
            <w:tcW w:type="dxa" w:w="1152"/>
            <w:shd w:val="clear" w:fill="1F3864"/>
          </w:tcPr>
          <w:p>
            <w:pPr>
              <w:keepNext/>
              <w:spacing w:after="40" w:before="40" w:line="252" w:lineRule="auto"/>
              <w:jc w:val="center"/>
            </w:pPr>
            <w:r/>
            <w:r>
              <w:rPr>
                <w:rFonts w:ascii="Arial" w:hAnsi="Arial"/>
                <w:b/>
                <w:color w:val="FFFFFF"/>
                <w:sz w:val="19"/>
              </w:rPr>
              <w:t>Duration</w:t>
            </w:r>
          </w:p>
        </w:tc>
        <w:tc>
          <w:tcPr>
            <w:tcW w:type="dxa" w:w="2016"/>
            <w:shd w:val="clear" w:fill="1F3864"/>
          </w:tcPr>
          <w:p>
            <w:pPr>
              <w:keepNext/>
              <w:spacing w:after="40" w:before="40" w:line="252" w:lineRule="auto"/>
              <w:jc w:val="center"/>
            </w:pPr>
            <w:r/>
            <w:r>
              <w:rPr>
                <w:rFonts w:ascii="Arial" w:hAnsi="Arial"/>
                <w:b/>
                <w:color w:val="FFFFFF"/>
                <w:sz w:val="19"/>
              </w:rPr>
              <w:t>Coverage</w:t>
            </w:r>
          </w:p>
        </w:tc>
        <w:tc>
          <w:tcPr>
            <w:tcW w:type="dxa" w:w="3312"/>
            <w:shd w:val="clear" w:fill="1F3864"/>
          </w:tcPr>
          <w:p>
            <w:pPr>
              <w:keepNext/>
              <w:spacing w:after="40" w:before="40" w:line="252" w:lineRule="auto"/>
              <w:jc w:val="center"/>
            </w:pPr>
            <w:r/>
            <w:r>
              <w:rPr>
                <w:rFonts w:ascii="Arial" w:hAnsi="Arial"/>
                <w:b/>
                <w:color w:val="FFFFFF"/>
                <w:sz w:val="19"/>
              </w:rPr>
              <w:t>Conditions</w:t>
            </w:r>
          </w:p>
        </w:tc>
        <w:tc>
          <w:tcPr>
            <w:tcW w:type="dxa" w:w="864"/>
            <w:shd w:val="clear" w:fill="1F3864"/>
          </w:tcPr>
          <w:p>
            <w:pPr>
              <w:keepNext/>
              <w:spacing w:after="40" w:before="40" w:line="252" w:lineRule="auto"/>
              <w:jc w:val="center"/>
            </w:pPr>
            <w:r/>
            <w:r>
              <w:rPr>
                <w:rFonts w:ascii="Arial" w:hAnsi="Arial"/>
                <w:b/>
                <w:color w:val="FFFFFF"/>
                <w:sz w:val="19"/>
              </w:rPr>
              <w:t>Ratio</w:t>
            </w:r>
          </w:p>
        </w:tc>
      </w:tr>
      <w:tr>
        <w:trPr>
          <w:cantSplit w:val="true"/>
        </w:trPr>
        <w:tc>
          <w:tcPr>
            <w:tcW w:type="dxa" w:w="2592"/>
            <w:shd w:val="clear" w:fill="F2F5FA"/>
          </w:tcPr>
          <w:p>
            <w:pPr>
              <w:keepNext/>
              <w:spacing w:after="40" w:before="40" w:line="252" w:lineRule="auto"/>
            </w:pPr>
            <w:r/>
            <w:r>
              <w:rPr>
                <w:rFonts w:ascii="Arial" w:hAnsi="Arial"/>
                <w:b w:val="0"/>
                <w:color w:val="444A54"/>
                <w:sz w:val="19"/>
              </w:rPr>
              <w:t>Written Assessment (Short Answer Questions)</w:t>
            </w:r>
          </w:p>
        </w:tc>
        <w:tc>
          <w:tcPr>
            <w:tcW w:type="dxa" w:w="1152"/>
            <w:shd w:val="clear" w:fill="F2F5FA"/>
          </w:tcPr>
          <w:p>
            <w:pPr>
              <w:keepNext/>
              <w:spacing w:after="40" w:before="40" w:line="252" w:lineRule="auto"/>
              <w:jc w:val="center"/>
            </w:pPr>
            <w:r/>
            <w:r>
              <w:rPr>
                <w:rFonts w:ascii="Arial" w:hAnsi="Arial"/>
                <w:b w:val="0"/>
                <w:color w:val="444A54"/>
                <w:sz w:val="19"/>
              </w:rPr>
              <w:t>45 min</w:t>
            </w:r>
          </w:p>
        </w:tc>
        <w:tc>
          <w:tcPr>
            <w:tcW w:type="dxa" w:w="2016"/>
            <w:shd w:val="clear" w:fill="F2F5FA"/>
          </w:tcPr>
          <w:p>
            <w:pPr>
              <w:keepNext/>
              <w:spacing w:after="40" w:before="40" w:line="252" w:lineRule="auto"/>
            </w:pPr>
            <w:r/>
            <w:r>
              <w:rPr>
                <w:rFonts w:ascii="Arial" w:hAnsi="Arial"/>
                <w:b w:val="0"/>
                <w:color w:val="444A54"/>
                <w:sz w:val="19"/>
              </w:rPr>
              <w:t>9 questions, K1-K9</w:t>
            </w:r>
          </w:p>
        </w:tc>
        <w:tc>
          <w:tcPr>
            <w:tcW w:type="dxa" w:w="3312"/>
            <w:shd w:val="clear" w:fill="F2F5FA"/>
          </w:tcPr>
          <w:p>
            <w:pPr>
              <w:keepNext/>
              <w:spacing w:after="40" w:before="40" w:line="252" w:lineRule="auto"/>
            </w:pPr>
            <w:r/>
            <w:r>
              <w:rPr>
                <w:rFonts w:ascii="Arial" w:hAnsi="Arial"/>
                <w:b w:val="0"/>
                <w:color w:val="444A54"/>
                <w:sz w:val="19"/>
              </w:rPr>
              <w:t>Open book, individual, invigilated</w:t>
            </w:r>
          </w:p>
        </w:tc>
        <w:tc>
          <w:tcPr>
            <w:tcW w:type="dxa" w:w="864"/>
            <w:shd w:val="clear" w:fill="F2F5FA"/>
          </w:tcPr>
          <w:p>
            <w:pPr>
              <w:keepNext/>
              <w:spacing w:after="40" w:before="40" w:line="252" w:lineRule="auto"/>
              <w:jc w:val="center"/>
            </w:pPr>
            <w:r/>
            <w:r>
              <w:rPr>
                <w:rFonts w:ascii="Arial" w:hAnsi="Arial"/>
                <w:b w:val="0"/>
                <w:color w:val="444A54"/>
                <w:sz w:val="19"/>
              </w:rPr>
              <w:t>1 : 20</w:t>
            </w:r>
          </w:p>
        </w:tc>
      </w:tr>
      <w:tr>
        <w:trPr>
          <w:cantSplit w:val="true"/>
        </w:trPr>
        <w:tc>
          <w:tcPr>
            <w:tcW w:type="dxa" w:w="2592"/>
          </w:tcPr>
          <w:p>
            <w:pPr>
              <w:spacing w:after="40" w:before="40" w:line="252" w:lineRule="auto"/>
            </w:pPr>
            <w:r/>
            <w:r>
              <w:rPr>
                <w:rFonts w:ascii="Arial" w:hAnsi="Arial"/>
                <w:b w:val="0"/>
                <w:color w:val="444A54"/>
                <w:sz w:val="19"/>
              </w:rPr>
              <w:t>Practical Performance</w:t>
            </w:r>
          </w:p>
        </w:tc>
        <w:tc>
          <w:tcPr>
            <w:tcW w:type="dxa" w:w="1152"/>
          </w:tcPr>
          <w:p>
            <w:pPr>
              <w:spacing w:after="40" w:before="40" w:line="252" w:lineRule="auto"/>
              <w:jc w:val="center"/>
            </w:pPr>
            <w:r/>
            <w:r>
              <w:rPr>
                <w:rFonts w:ascii="Arial" w:hAnsi="Arial"/>
                <w:b w:val="0"/>
                <w:color w:val="444A54"/>
                <w:sz w:val="19"/>
              </w:rPr>
              <w:t>75 min</w:t>
            </w:r>
          </w:p>
        </w:tc>
        <w:tc>
          <w:tcPr>
            <w:tcW w:type="dxa" w:w="2016"/>
          </w:tcPr>
          <w:p>
            <w:pPr>
              <w:spacing w:after="40" w:before="40" w:line="252" w:lineRule="auto"/>
            </w:pPr>
            <w:r/>
            <w:r>
              <w:rPr>
                <w:rFonts w:ascii="Arial" w:hAnsi="Arial"/>
                <w:b w:val="0"/>
                <w:color w:val="444A54"/>
                <w:sz w:val="19"/>
              </w:rPr>
              <w:t>4 tasks, A1-A10</w:t>
            </w:r>
          </w:p>
        </w:tc>
        <w:tc>
          <w:tcPr>
            <w:tcW w:type="dxa" w:w="3312"/>
          </w:tcPr>
          <w:p>
            <w:pPr>
              <w:spacing w:after="40" w:before="40" w:line="252" w:lineRule="auto"/>
            </w:pPr>
            <w:r/>
            <w:r>
              <w:rPr>
                <w:rFonts w:ascii="Arial" w:hAnsi="Arial"/>
                <w:b w:val="0"/>
                <w:color w:val="444A54"/>
                <w:sz w:val="19"/>
              </w:rPr>
              <w:t>Open book, individual, own laptop with the Trading Simulator; configure and run the provided program - no coding</w:t>
            </w:r>
          </w:p>
        </w:tc>
        <w:tc>
          <w:tcPr>
            <w:tcW w:type="dxa" w:w="864"/>
          </w:tcPr>
          <w:p>
            <w:pPr>
              <w:spacing w:after="40" w:before="40" w:line="252" w:lineRule="auto"/>
              <w:jc w:val="center"/>
            </w:pPr>
            <w:r/>
            <w:r>
              <w:rPr>
                <w:rFonts w:ascii="Arial" w:hAnsi="Arial"/>
                <w:b w:val="0"/>
                <w:color w:val="444A54"/>
                <w:sz w:val="19"/>
              </w:rPr>
              <w:t>1 : 20</w:t>
            </w:r>
          </w:p>
        </w:tc>
      </w:tr>
    </w:tbl>
    <w:p>
      <w:pPr>
        <w:spacing w:after="120"/>
      </w:pPr>
      <w:r>
        <w:rPr>
          <w:rFonts w:ascii="Arial" w:hAnsi="Arial"/>
          <w:b/>
          <w:i w:val="0"/>
          <w:color w:val="1F3864"/>
          <w:sz w:val="23"/>
        </w:rPr>
        <w:t>Sequence on the day</w:t>
      </w:r>
    </w:p>
    <w:p>
      <w:pPr>
        <w:pStyle w:val="ListNumber"/>
        <w:spacing w:after="60"/>
        <w:ind w:left="432"/>
      </w:pPr>
      <w:r>
        <w:rPr>
          <w:rFonts w:ascii="Arial" w:hAnsi="Arial"/>
          <w:color w:val="444A54"/>
          <w:sz w:val="22"/>
        </w:rPr>
        <w:t>Verify each candidate's identity; candidates sign the assessment attendance record.</w:t>
      </w:r>
    </w:p>
    <w:p>
      <w:pPr>
        <w:pStyle w:val="ListNumber"/>
        <w:spacing w:after="60"/>
        <w:ind w:left="432"/>
      </w:pPr>
      <w:r>
        <w:rPr>
          <w:rFonts w:ascii="Arial" w:hAnsi="Arial"/>
          <w:color w:val="444A54"/>
          <w:sz w:val="22"/>
        </w:rPr>
        <w:t>Brief candidates (5 minutes, not assessed): components, durations, open book, individual work, pass rule, appeal and re-assessment.</w:t>
      </w:r>
    </w:p>
    <w:p>
      <w:pPr>
        <w:pStyle w:val="ListNumber"/>
        <w:spacing w:after="60"/>
        <w:ind w:left="432"/>
      </w:pPr>
      <w:r>
        <w:rPr>
          <w:rFonts w:ascii="Arial" w:hAnsi="Arial"/>
          <w:color w:val="444A54"/>
          <w:sz w:val="22"/>
        </w:rPr>
        <w:t>Issue the Written Assessment question paper (Assessment Plan Annex A); start the 45-minute clock; collect scripts at time.</w:t>
      </w:r>
    </w:p>
    <w:p>
      <w:pPr>
        <w:pStyle w:val="ListNumber"/>
        <w:spacing w:after="60"/>
        <w:ind w:left="432"/>
      </w:pPr>
      <w:r>
        <w:rPr>
          <w:rFonts w:ascii="Arial" w:hAnsi="Arial"/>
          <w:color w:val="444A54"/>
          <w:sz w:val="22"/>
        </w:rPr>
        <w:t>Copy courseware/assessment/pp_assessment/candidate into each candidate's labs_lowcode/pp_assessment/ (never the assessor folder), then issue the Practical Performance question paper (Annex C); start the 75-minute clock. Observe and note process evidence.</w:t>
      </w:r>
    </w:p>
    <w:p>
      <w:pPr>
        <w:pStyle w:val="ListNumber"/>
        <w:spacing w:after="60"/>
        <w:ind w:left="432"/>
      </w:pPr>
      <w:r>
        <w:rPr>
          <w:rFonts w:ascii="Arial" w:hAnsi="Arial"/>
          <w:color w:val="444A54"/>
          <w:sz w:val="22"/>
        </w:rPr>
        <w:t>Collect the candidate's pp_config.yaml, pp_output.txt, screenshot and completed response template (saved as PP_&lt;Name&gt;_&lt;Date&gt;).</w:t>
      </w:r>
    </w:p>
    <w:p>
      <w:pPr>
        <w:pStyle w:val="ListNumber"/>
        <w:spacing w:after="60"/>
        <w:ind w:left="432"/>
      </w:pPr>
      <w:r>
        <w:rPr>
          <w:rFonts w:ascii="Arial" w:hAnsi="Arial"/>
          <w:color w:val="444A54"/>
          <w:sz w:val="22"/>
        </w:rPr>
        <w:t>Mark against the marking points (Annex B / D / E), apply the Decision Rules and the Assessor Key (Annex F), derive bands, complete the Score Summary and the Individual Assessment Records.</w:t>
      </w:r>
    </w:p>
    <w:p>
      <w:pPr>
        <w:pStyle w:val="ListNumber"/>
        <w:spacing w:after="60"/>
        <w:ind w:left="432"/>
      </w:pPr>
      <w:r>
        <w:rPr>
          <w:rFonts w:ascii="Arial" w:hAnsi="Arial"/>
          <w:color w:val="444A54"/>
          <w:sz w:val="22"/>
        </w:rPr>
        <w:t>Give feedback. A candidate who is Not Yet Competent is counselled on the gaps and offered re-assessment on the component(s) not met.</w:t>
      </w:r>
    </w:p>
    <w:p>
      <w:pPr>
        <w:spacing w:after="120"/>
      </w:pPr>
      <w:r>
        <w:rPr>
          <w:rFonts w:ascii="Arial" w:hAnsi="Arial"/>
          <w:b/>
          <w:i w:val="0"/>
          <w:color w:val="1F3864"/>
          <w:sz w:val="23"/>
        </w:rPr>
        <w:t>Pass rule</w:t>
      </w:r>
    </w:p>
    <w:p>
      <w:pPr>
        <w:pStyle w:val="ListBullet"/>
        <w:spacing w:after="60"/>
        <w:ind w:left="432"/>
      </w:pPr>
      <w:r>
        <w:rPr>
          <w:rFonts w:ascii="Arial" w:hAnsi="Arial"/>
          <w:color w:val="444A54"/>
          <w:sz w:val="22"/>
        </w:rPr>
        <w:t>(1) Written Assessment: at least 80 of 100 marks.</w:t>
      </w:r>
    </w:p>
    <w:p>
      <w:pPr>
        <w:pStyle w:val="ListBullet"/>
        <w:spacing w:after="60"/>
        <w:ind w:left="432"/>
      </w:pPr>
      <w:r>
        <w:rPr>
          <w:rFonts w:ascii="Arial" w:hAnsi="Arial"/>
          <w:color w:val="444A54"/>
          <w:sz w:val="22"/>
        </w:rPr>
        <w:t>(2) Practical Performance: at least 80 of 100 marks.</w:t>
      </w:r>
    </w:p>
    <w:p>
      <w:pPr>
        <w:pStyle w:val="ListBullet"/>
        <w:spacing w:after="60"/>
        <w:ind w:left="432"/>
      </w:pPr>
      <w:r>
        <w:rPr>
          <w:rFonts w:ascii="Arial" w:hAnsi="Arial"/>
          <w:color w:val="444A54"/>
          <w:sz w:val="22"/>
        </w:rPr>
        <w:t>(3) Every knowledge statement (K1-K9) and every ability statement (A1-A10) scores at least 60% of the marks allocated to it (table below), so that each statement is demonstrated.</w:t>
      </w:r>
    </w:p>
    <w:p>
      <w:pPr>
        <w:pStyle w:val="ListBullet"/>
        <w:spacing w:after="60"/>
        <w:ind w:left="432"/>
      </w:pPr>
      <w:r>
        <w:rPr>
          <w:rFonts w:ascii="Arial" w:hAnsi="Arial"/>
          <w:color w:val="444A54"/>
          <w:sz w:val="22"/>
        </w:rPr>
        <w:t>(4) Every CRITICAL marking point (1.1, 3.5, 4.1, 4.5, 4.9) is awarded.</w:t>
      </w:r>
    </w:p>
    <w:p>
      <w:bookmarkStart w:id="913" w:name="_Toc912"/>
      <w:pPr>
        <w:pStyle w:val="Heading1"/>
      </w:pPr>
      <w:r>
        <w:t>6.  Assessor's Keys</w:t>
      </w:r>
      <w:bookmarkEnd w:id="913"/>
    </w:p>
    <w:p>
      <w:pPr>
        <w:spacing w:after="120"/>
      </w:pPr>
      <w:r>
        <w:rPr>
          <w:rFonts w:ascii="Arial" w:hAnsi="Arial"/>
          <w:b w:val="0"/>
          <w:i w:val="0"/>
          <w:color w:val="444A54"/>
          <w:sz w:val="21"/>
        </w:rPr>
        <w:t>The assessor's keys, expected values and the marking rubric are trainer-only and are held in the full Facilitator Guide and the Assessment Plan.</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