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r>
          <w:tab/>
        </w:r>
        <w:r>
          <w:rPr>
            <w:rFonts w:ascii="Arial" w:hAnsi="Arial"/>
            <w:sz w:val="21"/>
            <w:b/>
            <w:color w:val="1F3864"/>
          </w:rPr>
          <w:fldChar w:fldCharType="begin" w:dirty="true"/>
        </w:r>
        <w:r>
          <w:rPr>
            <w:rFonts w:ascii="Arial" w:hAnsi="Arial"/>
            <w:sz w:val="21"/>
            <w:b/>
            <w:color w:val="1F3864"/>
          </w:rPr>
          <w:instrText xml:space="preserve"> PAGEREF _Toc900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1">
        <w:r>
          <w:rPr>
            <w:rFonts w:ascii="Arial" w:hAnsi="Arial"/>
            <w:sz w:val="21"/>
            <w:b/>
            <w:color w:val="1F3864"/>
          </w:rPr>
          <w:t xml:space="preserve">1.  About This Guide</w:t>
        </w:r>
        <w:r>
          <w:tab/>
        </w:r>
        <w:r>
          <w:rPr>
            <w:rFonts w:ascii="Arial" w:hAnsi="Arial"/>
            <w:sz w:val="21"/>
            <w:b/>
            <w:color w:val="1F3864"/>
          </w:rPr>
          <w:fldChar w:fldCharType="begin" w:dirty="true"/>
        </w:r>
        <w:r>
          <w:rPr>
            <w:rFonts w:ascii="Arial" w:hAnsi="Arial"/>
            <w:sz w:val="21"/>
            <w:b/>
            <w:color w:val="1F3864"/>
          </w:rPr>
          <w:instrText xml:space="preserve"> PAGEREF _Toc901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2">
        <w:r>
          <w:rPr>
            <w:rFonts w:ascii="Arial" w:hAnsi="Arial"/>
            <w:sz w:val="21"/>
            <w:b/>
            <w:color w:val="1F3864"/>
          </w:rPr>
          <w:t xml:space="preserve">2.  Preparing to Deliver</w:t>
        </w:r>
        <w:r>
          <w:tab/>
        </w:r>
        <w:r>
          <w:rPr>
            <w:rFonts w:ascii="Arial" w:hAnsi="Arial"/>
            <w:sz w:val="21"/>
            <w:b/>
            <w:color w:val="1F3864"/>
          </w:rPr>
          <w:fldChar w:fldCharType="begin" w:dirty="true"/>
        </w:r>
        <w:r>
          <w:rPr>
            <w:rFonts w:ascii="Arial" w:hAnsi="Arial"/>
            <w:sz w:val="21"/>
            <w:b/>
            <w:color w:val="1F3864"/>
          </w:rPr>
          <w:instrText xml:space="preserve"> PAGEREF _Toc902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3">
        <w:r>
          <w:rPr>
            <w:rFonts w:ascii="Arial" w:hAnsi="Arial"/>
            <w:sz w:val="21"/>
            <w:b/>
            <w:color w:val="1F3864"/>
          </w:rPr>
          <w:t xml:space="preserve">3.  Daily Lesson Plan</w:t>
        </w:r>
        <w:r>
          <w:tab/>
        </w:r>
        <w:r>
          <w:rPr>
            <w:rFonts w:ascii="Arial" w:hAnsi="Arial"/>
            <w:sz w:val="21"/>
            <w:b/>
            <w:color w:val="1F3864"/>
          </w:rPr>
          <w:fldChar w:fldCharType="begin" w:dirty="true"/>
        </w:r>
        <w:r>
          <w:rPr>
            <w:rFonts w:ascii="Arial" w:hAnsi="Arial"/>
            <w:sz w:val="21"/>
            <w:b/>
            <w:color w:val="1F3864"/>
          </w:rPr>
          <w:instrText xml:space="preserve"> PAGEREF _Toc903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4">
        <w:r>
          <w:rPr>
            <w:rFonts w:ascii="Arial" w:hAnsi="Arial"/>
            <w:sz w:val="19"/>
            <w:color w:val="444A54"/>
          </w:rPr>
          <w:t xml:space="preserve">Day 1</w:t>
        </w:r>
        <w:r>
          <w:tab/>
        </w:r>
        <w:r>
          <w:rPr>
            <w:rFonts w:ascii="Arial" w:hAnsi="Arial"/>
            <w:sz w:val="19"/>
            <w:color w:val="444A54"/>
          </w:rPr>
          <w:fldChar w:fldCharType="begin" w:dirty="true"/>
        </w:r>
        <w:r>
          <w:rPr>
            <w:rFonts w:ascii="Arial" w:hAnsi="Arial"/>
            <w:sz w:val="19"/>
            <w:color w:val="444A54"/>
          </w:rPr>
          <w:instrText xml:space="preserve"> PAGEREF _Toc904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5">
        <w:r>
          <w:rPr>
            <w:rFonts w:ascii="Arial" w:hAnsi="Arial"/>
            <w:sz w:val="19"/>
            <w:color w:val="444A54"/>
          </w:rPr>
          <w:t xml:space="preserve">Day 2</w:t>
        </w:r>
        <w:r>
          <w:tab/>
        </w:r>
        <w:r>
          <w:rPr>
            <w:rFonts w:ascii="Arial" w:hAnsi="Arial"/>
            <w:sz w:val="19"/>
            <w:color w:val="444A54"/>
          </w:rPr>
          <w:fldChar w:fldCharType="begin" w:dirty="true"/>
        </w:r>
        <w:r>
          <w:rPr>
            <w:rFonts w:ascii="Arial" w:hAnsi="Arial"/>
            <w:sz w:val="19"/>
            <w:color w:val="444A54"/>
          </w:rPr>
          <w:instrText xml:space="preserve"> PAGEREF _Toc905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06">
        <w:r>
          <w:rPr>
            <w:rFonts w:ascii="Arial" w:hAnsi="Arial"/>
            <w:sz w:val="21"/>
            <w:b/>
            <w:color w:val="1F3864"/>
          </w:rPr>
          <w:t xml:space="preserve">4.  Facilitation Notes by Topic</w:t>
        </w:r>
        <w:r>
          <w:tab/>
        </w:r>
        <w:r>
          <w:rPr>
            <w:rFonts w:ascii="Arial" w:hAnsi="Arial"/>
            <w:sz w:val="21"/>
            <w:b/>
            <w:color w:val="1F3864"/>
          </w:rPr>
          <w:fldChar w:fldCharType="begin" w:dirty="true"/>
        </w:r>
        <w:r>
          <w:rPr>
            <w:rFonts w:ascii="Arial" w:hAnsi="Arial"/>
            <w:sz w:val="21"/>
            <w:b/>
            <w:color w:val="1F3864"/>
          </w:rPr>
          <w:instrText xml:space="preserve"> PAGEREF _Toc906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r>
          <w:tab/>
        </w:r>
        <w:r>
          <w:rPr>
            <w:rFonts w:ascii="Arial" w:hAnsi="Arial"/>
            <w:sz w:val="19"/>
            <w:color w:val="444A54"/>
          </w:rPr>
          <w:fldChar w:fldCharType="begin" w:dirty="true"/>
        </w:r>
        <w:r>
          <w:rPr>
            <w:rFonts w:ascii="Arial" w:hAnsi="Arial"/>
            <w:sz w:val="19"/>
            <w:color w:val="444A54"/>
          </w:rPr>
          <w:instrText xml:space="preserve"> PAGEREF _Toc907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r>
          <w:tab/>
        </w:r>
        <w:r>
          <w:rPr>
            <w:rFonts w:ascii="Arial" w:hAnsi="Arial"/>
            <w:sz w:val="19"/>
            <w:color w:val="444A54"/>
          </w:rPr>
          <w:fldChar w:fldCharType="begin" w:dirty="true"/>
        </w:r>
        <w:r>
          <w:rPr>
            <w:rFonts w:ascii="Arial" w:hAnsi="Arial"/>
            <w:sz w:val="19"/>
            <w:color w:val="444A54"/>
          </w:rPr>
          <w:instrText xml:space="preserve"> PAGEREF _Toc908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r>
          <w:tab/>
        </w:r>
        <w:r>
          <w:rPr>
            <w:rFonts w:ascii="Arial" w:hAnsi="Arial"/>
            <w:sz w:val="19"/>
            <w:color w:val="444A54"/>
          </w:rPr>
          <w:fldChar w:fldCharType="begin" w:dirty="true"/>
        </w:r>
        <w:r>
          <w:rPr>
            <w:rFonts w:ascii="Arial" w:hAnsi="Arial"/>
            <w:sz w:val="19"/>
            <w:color w:val="444A54"/>
          </w:rPr>
          <w:instrText xml:space="preserve"> PAGEREF _Toc909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r>
          <w:tab/>
        </w:r>
        <w:r>
          <w:rPr>
            <w:rFonts w:ascii="Arial" w:hAnsi="Arial"/>
            <w:sz w:val="19"/>
            <w:color w:val="444A54"/>
          </w:rPr>
          <w:fldChar w:fldCharType="begin" w:dirty="true"/>
        </w:r>
        <w:r>
          <w:rPr>
            <w:rFonts w:ascii="Arial" w:hAnsi="Arial"/>
            <w:sz w:val="19"/>
            <w:color w:val="444A54"/>
          </w:rPr>
          <w:instrText xml:space="preserve"> PAGEREF _Toc910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11">
        <w:r>
          <w:rPr>
            <w:rFonts w:ascii="Arial" w:hAnsi="Arial"/>
            <w:sz w:val="21"/>
            <w:b/>
            <w:color w:val="1F3864"/>
          </w:rPr>
          <w:t xml:space="preserve">5.  Assessment Administration</w:t>
        </w:r>
        <w:r>
          <w:tab/>
        </w:r>
        <w:r>
          <w:rPr>
            <w:rFonts w:ascii="Arial" w:hAnsi="Arial"/>
            <w:sz w:val="21"/>
            <w:b/>
            <w:color w:val="1F3864"/>
          </w:rPr>
          <w:fldChar w:fldCharType="begin" w:dirty="true"/>
        </w:r>
        <w:r>
          <w:rPr>
            <w:rFonts w:ascii="Arial" w:hAnsi="Arial"/>
            <w:sz w:val="21"/>
            <w:b/>
            <w:color w:val="1F3864"/>
          </w:rPr>
          <w:instrText xml:space="preserve"> PAGEREF _Toc911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2">
        <w:r>
          <w:rPr>
            <w:rFonts w:ascii="Arial" w:hAnsi="Arial"/>
            <w:sz w:val="21"/>
            <w:b/>
            <w:color w:val="1F3864"/>
          </w:rPr>
          <w:t xml:space="preserve">6.  Assessor's Keys</w:t>
        </w:r>
        <w:r>
          <w:tab/>
        </w:r>
        <w:r>
          <w:rPr>
            <w:rFonts w:ascii="Arial" w:hAnsi="Arial"/>
            <w:sz w:val="21"/>
            <w:b/>
            <w:color w:val="1F3864"/>
          </w:rPr>
          <w:fldChar w:fldCharType="begin" w:dirty="true"/>
        </w:r>
        <w:r>
          <w:rPr>
            <w:rFonts w:ascii="Arial" w:hAnsi="Arial"/>
            <w:sz w:val="21"/>
            <w:b/>
            <w:color w:val="1F3864"/>
          </w:rPr>
          <w:instrText xml:space="preserve"> PAGEREF _Toc912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and its timings. The assessor's keys, model answers and rubric are held in the trainer-only full edition and the Assessment Plan.</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T1.1-1.3 History of AI, AI Agents versus Agentic AI, and the History of Algorithmic Trading</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T1.4-1.5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61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63</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66</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70-94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95</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97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100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102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103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125</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127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133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146</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150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151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153</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155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23</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23</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30-68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Agentic AI versus AI Agents in Trading, and Multi-Agent Trading Systems (K1): 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Define agentic AI as the capability (tools, skills, memory, instructions) and an AI agent as its special always-on class that stands by 24/7 (OpenClaw, Hermes Agent, OpenAI Dots).</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61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63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69-106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95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97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100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102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103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107-135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125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127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129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131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133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136-157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150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151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153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155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