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2.0   |   18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spacing w:after="40" w:before="40" w:line="252" w:lineRule="auto"/>
              <w:jc w:val="center"/>
            </w:pPr>
            <w:r/>
            <w:r>
              <w:rPr>
                <w:rFonts w:ascii="Arial" w:hAnsi="Arial"/>
                <w:b/>
                <w:color w:val="FFFFFF"/>
                <w:sz w:val="19"/>
              </w:rPr>
              <w:t>Version No</w:t>
            </w:r>
          </w:p>
        </w:tc>
        <w:tc>
          <w:tcPr>
            <w:tcW w:type="dxa" w:w="1728"/>
            <w:shd w:val="clear" w:fill="1F3864"/>
          </w:tcPr>
          <w:p>
            <w:pPr>
              <w:keepNext/>
              <w:spacing w:after="40" w:before="40" w:line="252" w:lineRule="auto"/>
              <w:jc w:val="center"/>
            </w:pPr>
            <w:r/>
            <w:r>
              <w:rPr>
                <w:rFonts w:ascii="Arial" w:hAnsi="Arial"/>
                <w:b/>
                <w:color w:val="FFFFFF"/>
                <w:sz w:val="19"/>
              </w:rPr>
              <w:t>Date Effected</w:t>
            </w:r>
          </w:p>
        </w:tc>
        <w:tc>
          <w:tcPr>
            <w:tcW w:type="dxa" w:w="5616"/>
            <w:shd w:val="clear" w:fill="1F3864"/>
          </w:tcPr>
          <w:p>
            <w:pPr>
              <w:keepNext/>
              <w:spacing w:after="40" w:before="40" w:line="252" w:lineRule="auto"/>
              <w:jc w:val="center"/>
            </w:pPr>
            <w:r/>
            <w:r>
              <w:rPr>
                <w:rFonts w:ascii="Arial" w:hAnsi="Arial"/>
                <w:b/>
                <w:color w:val="FFFFFF"/>
                <w:sz w:val="19"/>
              </w:rPr>
              <w:t>Change Update</w:t>
            </w:r>
          </w:p>
        </w:tc>
        <w:tc>
          <w:tcPr>
            <w:tcW w:type="dxa" w:w="1584"/>
            <w:shd w:val="clear" w:fill="1F3864"/>
          </w:tcPr>
          <w:p>
            <w:pPr>
              <w:keepNext/>
              <w:spacing w:after="40" w:before="40" w:line="252" w:lineRule="auto"/>
              <w:jc w:val="center"/>
            </w:pPr>
            <w:r/>
            <w:r>
              <w:rPr>
                <w:rFonts w:ascii="Arial" w:hAnsi="Arial"/>
                <w:b/>
                <w:color w:val="FFFFFF"/>
                <w:sz w:val="19"/>
              </w:rPr>
              <w:t>Approved by</w:t>
            </w:r>
          </w:p>
        </w:tc>
      </w:tr>
      <w:tr>
        <w:trPr>
          <w:cantSplit w:val="true"/>
        </w:trPr>
        <w:tc>
          <w:tcPr>
            <w:tcW w:type="dxa" w:w="1296"/>
          </w:tcPr>
          <w:p>
            <w:pPr>
              <w:keepNext/>
              <w:spacing w:after="40" w:before="40" w:line="252" w:lineRule="auto"/>
            </w:pPr>
            <w:r/>
            <w:r>
              <w:rPr>
                <w:rFonts w:ascii="Arial" w:hAnsi="Arial"/>
                <w:b w:val="0"/>
                <w:color w:val="444A54"/>
                <w:sz w:val="19"/>
              </w:rPr>
              <w:t>2.0</w:t>
            </w:r>
          </w:p>
        </w:tc>
        <w:tc>
          <w:tcPr>
            <w:tcW w:type="dxa" w:w="1728"/>
          </w:tcPr>
          <w:p>
            <w:pPr>
              <w:keepNext/>
              <w:spacing w:after="40" w:before="40" w:line="252" w:lineRule="auto"/>
            </w:pPr>
            <w:r/>
            <w:r>
              <w:rPr>
                <w:rFonts w:ascii="Arial" w:hAnsi="Arial"/>
                <w:b w:val="0"/>
                <w:color w:val="444A54"/>
                <w:sz w:val="19"/>
              </w:rPr>
              <w:t>18 October 2026</w:t>
            </w:r>
          </w:p>
        </w:tc>
        <w:tc>
          <w:tcPr>
            <w:tcW w:type="dxa" w:w="5616"/>
          </w:tcPr>
          <w:p>
            <w:pPr>
              <w:keepNext/>
              <w:spacing w:after="40" w:before="40" w:line="252" w:lineRule="auto"/>
            </w:pPr>
            <w:r/>
            <w:r>
              <w:rPr>
                <w:rFonts w:ascii="Arial" w:hAnsi="Arial"/>
                <w:b w:val="0"/>
                <w:color w:val="444A54"/>
                <w:sz w:val="19"/>
              </w:rPr>
              <w:t>Major revision, focused entirely on quant and algorithmic stock trading. Courseware rebuilt on the single-source IBF pipeline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keepNext/>
              <w:spacing w:after="40" w:before="40" w:line="252" w:lineRule="auto"/>
            </w:pPr>
            <w:r/>
            <w:r>
              <w:rPr>
                <w:rFonts w:ascii="Arial" w:hAnsi="Arial"/>
                <w:b w:val="0"/>
                <w:color w:val="444A54"/>
                <w:sz w:val="19"/>
              </w:rPr>
              <w:t>1.1</w:t>
            </w:r>
          </w:p>
        </w:tc>
        <w:tc>
          <w:tcPr>
            <w:tcW w:type="dxa" w:w="1728"/>
          </w:tcPr>
          <w:p>
            <w:pPr>
              <w:keepNext/>
              <w:spacing w:after="40" w:before="40" w:line="252" w:lineRule="auto"/>
            </w:pPr>
            <w:r/>
            <w:r>
              <w:rPr>
                <w:rFonts w:ascii="Arial" w:hAnsi="Arial"/>
                <w:b w:val="0"/>
                <w:color w:val="444A54"/>
                <w:sz w:val="19"/>
              </w:rPr>
              <w:t>22 December 2022</w:t>
            </w:r>
          </w:p>
        </w:tc>
        <w:tc>
          <w:tcPr>
            <w:tcW w:type="dxa" w:w="5616"/>
          </w:tcPr>
          <w:p>
            <w:pPr>
              <w:keepNext/>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keepNext/>
              <w:spacing w:after="40" w:before="40" w:line="252" w:lineRule="auto"/>
            </w:pPr>
            <w:r/>
            <w:r>
              <w:rPr>
                <w:rFonts w:ascii="Arial" w:hAnsi="Arial"/>
                <w:b w:val="0"/>
                <w:color w:val="444A54"/>
                <w:sz w:val="19"/>
              </w:rPr>
              <w:t>1.0</w:t>
            </w:r>
          </w:p>
        </w:tc>
        <w:tc>
          <w:tcPr>
            <w:tcW w:type="dxa" w:w="1728"/>
          </w:tcPr>
          <w:p>
            <w:pPr>
              <w:keepNext/>
              <w:spacing w:after="40" w:before="40" w:line="252" w:lineRule="auto"/>
            </w:pPr>
            <w:r/>
            <w:r>
              <w:rPr>
                <w:rFonts w:ascii="Arial" w:hAnsi="Arial"/>
                <w:b w:val="0"/>
                <w:color w:val="444A54"/>
                <w:sz w:val="19"/>
              </w:rPr>
              <w:t>10 June 2022</w:t>
            </w:r>
          </w:p>
        </w:tc>
        <w:tc>
          <w:tcPr>
            <w:tcW w:type="dxa" w:w="5616"/>
          </w:tcPr>
          <w:p>
            <w:pPr>
              <w:keepNext/>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spacing w:after="40" w:before="40" w:line="252" w:lineRule="auto"/>
            </w:pPr>
            <w:r/>
            <w:r>
              <w:rPr>
                <w:rFonts w:ascii="Arial" w:hAnsi="Arial"/>
                <w:b w:val="0"/>
                <w:color w:val="444A54"/>
                <w:sz w:val="19"/>
              </w:rPr>
            </w:r>
          </w:p>
        </w:tc>
        <w:tc>
          <w:tcPr>
            <w:tcW w:type="dxa" w:w="1728"/>
          </w:tcPr>
          <w:p>
            <w:pPr>
              <w:spacing w:after="40" w:before="40" w:line="252" w:lineRule="auto"/>
            </w:pPr>
            <w:r/>
            <w:r>
              <w:rPr>
                <w:rFonts w:ascii="Arial" w:hAnsi="Arial"/>
                <w:b w:val="0"/>
                <w:color w:val="444A54"/>
                <w:sz w:val="19"/>
              </w:rPr>
            </w:r>
          </w:p>
        </w:tc>
        <w:tc>
          <w:tcPr>
            <w:tcW w:type="dxa" w:w="5616"/>
          </w:tcPr>
          <w:p>
            <w:pPr>
              <w:spacing w:after="40" w:before="40" w:line="252" w:lineRule="auto"/>
            </w:pPr>
            <w:r/>
            <w:r>
              <w:rPr>
                <w:rFonts w:ascii="Arial" w:hAnsi="Arial"/>
                <w:b w:val="0"/>
                <w:color w:val="444A54"/>
                <w:sz w:val="19"/>
              </w:rPr>
            </w:r>
          </w:p>
        </w:tc>
        <w:tc>
          <w:tcPr>
            <w:tcW w:type="dxa" w:w="1584"/>
          </w:tcPr>
          <w:p>
            <w:pPr>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2.0, effective 18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Python 3 with pandas, NumPy, scikit-learn, XGBoost, SciPy and matplotlib</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basic familiarity with Python or spreadsheets is an advantage but not required - all code is supplied and explained.</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with Python 3.10 or later, a modern web browser and internet access (set-up guidance is provided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30 - 69</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70 - 108</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109 - 137</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138 - 160</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1 - 29</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60</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62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64</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67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96</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98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101</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103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105</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127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129</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131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133</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135</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148</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150</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152</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154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156</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158</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Lab01-alpaca-setup</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Read daily bars for SGX:D05 and NASDAQ:AAPL from the TradingView Data Window, record them, and build a validation stage that compares TradingView with the pipeline's raw and dividend-adjusted bars and writes a validation report.</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Learner Guide; lab folder Lab02-tradingview-charts</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Build `python -m pipeline ingest` to fetch and cache daily, weekly, monthly and hourly bars for the universe, run automated data-quality checks, ingest headlines as unstructured data, and describe the forms of data and the 3 Vs of big data.</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Lab03-alpaca-market-data</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a falsifiable hypothesis card in YAML (H1, H0, signal known at the close, outcome, test, decision rule, big-data use case) and build `python -m pipeline hypothesis` to test it with a Welch t-test, a bootstrap confidence interval and a robustness grid.</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Lab04-trading-hypothesis</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Add the desk's Pine Script v6 indicators to a TradingView chart, build pipeline/indicators.py with twins of ta.ema, ta.sma, ta.rsi, ta.bb, ta.atr, ta.macd, ta.crossover and ta.crossunder, and cross-check the values against the TradingView Data Window.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Learner Guide; lab folder Lab05-pine-indicators</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Lab06-pine-strategy-tester</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Build pipeline/signals.py with trend, mean-reversion, momentum and breakout signals that return target positions with next-bar alignment, a registry, an automated look-ahead test and a universe target file for the execution stage.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Lab07-python-indicators</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Lab08-paper-orders</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Build `python -m pipeline evaluate` to compute total return, CAGR, volatility, Sharpe, Sortino, maximum drawdown, Calmar, win rate, profit factor, exposure, turnover, alpha and beta for every signal against a buy-and-hold benchmark, and interpret the ranking.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Lab09-performance-metrics</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Build `python -m pipeline search` to grid-search three signal families, rank parameter sets in sample, measure out-of-sample decay, prefer a robust parameter region, and decide whether anything deserves promotion into config.yaml.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Lab10-strategy-grid-search</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Build pipeline/ml.py: engineer causal features, train logistic regression, random forest and XGBoost with walk-forward TimeSeriesSplit validation, turn P(up) into a target position and backtest it after costs.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Lab11-ml-signal-classifier</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Build pipeline/regime.py: PCA on the universe's returns, K-means regimes on backward-looking SPY features, walk-forward regime labels, and a gate that forces signals flat in the stress regime, evaluated after costs.</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Lab12-market-regimes</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Build `python -m pipeline abtest` to compare any two library signals with a Welch t-test, a paired t-test and a block-bootstrap confidence interval for the Sharpe difference, and to record an accept or reject decision with a multiple-testing caution.</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Lab13-ab-testing</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Build pipeline/pairs.py: screen pairs with the Engle-Granger cointegration test, estimate the hedge ratio, trade the spread z-score out of sample with next-bar execution and costs on both legs, confirm market neutrality and output leg targets.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Lab14-pairs-trading</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Lab15-trading-costs</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Lab16-paper-trading-bot</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Build pipeline/webhook.py: a webhook receiver that turns TradingView alert JSON into a pipeline decision (validation -&gt; signal -&gt; risk -&gt; execution), test it with a local alert simulator and a self-test, and configure a real TradingView strategy alert.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Lab17-tradingview-webhook</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Build `python -m pipeline diagnose` to run automated look-ahead (features and execution), cost-drag, overfitting and survivorship checks on any strategy and on the junior quant's exhibit, and write a PASS / WARN / FAIL report with a go-live verdict.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Lab18-diagnose-bias</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Build `python -m pipeline report` to compare the research backtest with the runner's forward-test logs, run monitoring checks with thresholds, and generate a tearsheet and a markdown report with data-driven insights and a recommendation.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Lab19-performance-report</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Build pipeline/agents.py (analyst, researcher, trader and risk agents; rule-based by default, Claude optional) and pipeline/e2e.py (`python -m pipeline e2e`) that runs every stage in order with gates, then evaluate the pipeline and the role of human oversight.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Lab20-agentic-capstone</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on Python, the Alpaca paper-trading API and the supplied dataset,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in Python with the Alpaca paper-trading API (or the supplied simulator)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code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166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all scripts, Pine Script files, bundled market data and reference outputs; a trainer Alpaca paper account for live demonstrations.</w:t>
      </w:r>
    </w:p>
    <w:p>
      <w:pPr>
        <w:pStyle w:val="ListBullet"/>
        <w:spacing w:after="60"/>
        <w:ind w:left="432"/>
      </w:pPr>
      <w:r>
        <w:rPr>
          <w:rFonts w:ascii="Arial" w:hAnsi="Arial"/>
          <w:color w:val="444A54"/>
          <w:sz w:val="22"/>
        </w:rPr>
        <w:t>Laptop with Python 3.10+,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Python 3.10+,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including requirements.txt, the common library and bundled daily market data so every lab also runs offline.</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(Part A of each lab); the Python and Pine Script files in the lab folders are Part B.</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Run every lab in two parts: Part A in the Trading Simulator (Course Labs page, quick and visual), then Part B in code with an AI coding assistant.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send_test_alert.py, which posts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