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2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Diagnose the Waterfall Failure with a Fishbone Analysis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Agile Project Management for Business  ·  TGS-2023018967  ·  Topic 1  ·  LO1  ·  45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https://alfredang.github.io/fishbone/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activities/activity-02-*/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The HarbourFront management committee wants to know why CustomerConnect was 4 months late and 62% unused before it approves any new funding. The programme director's explanation was "the team underestimated". The CEO is not satisfied with that answer and has asked your team for a structured diagnosis by Friday.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Problem statement (the effect)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Causes —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Causes — Process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Causes — Customer Involvement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Causes —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Causes — People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Causes — Technology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Count of causes tagged STRUCTURAL (S)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Count tagged BEHAVIOURAL (B)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Structural cause → the Agile practice that addresses it (one line each)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11.  </w:t>
      </w:r>
      <w:r>
        <w:rPr>
          <w:b/>
          <w:sz w:val="21"/>
        </w:rPr>
        <w:t>At least TWO causes Agile does NOT fix, and what would fix them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12.  </w:t>
      </w:r>
      <w:r>
        <w:rPr>
          <w:b/>
          <w:sz w:val="21"/>
        </w:rPr>
        <w:t>One-page recommendation to the committee (3–5 sentences)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Your diagram carries at least 18 causes across all 6 categories, every cause is tagged S or B, and each structural cause is paired with a named Agile practice. Your recommendation honestly identifies at least two causes Agile will not fix — a diagnosis that concludes 'Agile solves everything' has not been done properly.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output, not just the person who typed it.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artefact is exported or screenshotted into this worksheet.</w:t>
      </w:r>
    </w:p>
    <w:p>
      <w:pPr>
        <w:spacing w:after="80"/>
      </w:pPr>
      <w:r>
        <w:rPr>
          <w:b w:val="0"/>
          <w:i w:val="0"/>
          <w:color w:val="111827"/>
          <w:sz w:val="22"/>
        </w:rPr>
      </w:r>
    </w:p>
    <w:p>
      <w:pPr>
        <w:spacing w:after="0"/>
        <w:jc w:val="center"/>
      </w:pPr>
      <w:r>
        <w:rPr>
          <w:b w:val="0"/>
          <w:i w:val="0"/>
          <w:color w:val="555B66"/>
          <w:sz w:val="16"/>
        </w:rPr>
        <w:t>© 2026 Tertiary Infotech Academy Pte Ltd  ·  UEN: 201200696W  ·  Full step-by-step instructions: Learner Guide, Activity 2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