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5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Execute Sprint 1 and Track It on the Scrum Board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Agile Project Management for Business  ·  TGS-2023018967  ·  Topic 3  ·  LO3  ·  60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https://alfredang.github.io/scrum/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activities/activity-05-*/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Sprint 1 of the CustomerConnect restart runs for 10 working days with a committed 20 points. Your team will simulate all 10 days in compressed time, holding a daily stand-up each 'day', moving cards, and hitting three real impediments the trainer injects: the carrier data feed returns stale timestamps on Day 3, a developer is pulled onto a production incident on Day 5, and the Product Owner requests a new story mid-sprint on Day 7.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Sprint 1 committed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WIP limit set on In Progress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Burndown — remaining points at Day 0,1,2,3,4,5,6,7,8,9,10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Impediment 1 (Day 3, stale timestamps) — decision and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Impediment 2 (Day 5, capacity loss) — decision, and when you told the 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Impediment 3 (Day 7, new story) — displaced a story, or pushed to Sprint 2? Why?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ACTUAL VELOCITY (fully-Done points only)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Points CARRIED OVER (recorded separately)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Sprint Review feedback from the reviewing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What your burndown shape tells you about your WIP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Your burndown has 10 plotted points and an ideal line. Your velocity counts only fully-Done stories, with carryover recorded separately. All 3 impediments are logged with a decision and a rationale. If your burndown is a straight diagonal line, you have plotted the plan, not the sprint — plot what actually happened.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output, not just the person who typed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artefact is exported or screenshotted into this worksheet.</w:t>
      </w:r>
    </w:p>
    <w:p>
      <w:pPr>
        <w:spacing w:after="80"/>
      </w:pPr>
      <w:r>
        <w:rPr>
          <w:b w:val="0"/>
          <w:i w:val="0"/>
          <w:color w:val="111827"/>
          <w:sz w:val="22"/>
        </w:rPr>
      </w:r>
    </w:p>
    <w:p>
      <w:pPr>
        <w:spacing w:after="0"/>
        <w:jc w:val="center"/>
      </w:pPr>
      <w:r>
        <w:rPr>
          <w:b w:val="0"/>
          <w:i w:val="0"/>
          <w:color w:val="555B66"/>
          <w:sz w:val="16"/>
        </w:rPr>
        <w:t>© 2026 Tertiary Infotech Academy Pte Ltd  ·  UEN: 201200696W  ·  Full step-by-step instructions: Learner Guide, Activity 5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