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drawing>
          <wp:inline xmlns:a="http://schemas.openxmlformats.org/drawingml/2006/main" xmlns:pic="http://schemas.openxmlformats.org/drawingml/2006/picture">
            <wp:extent cx="310896" cy="310896"/>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6 WORKSHEET</w:t>
      </w:r>
    </w:p>
    <w:p>
      <w:pPr>
        <w:spacing w:after="60"/>
      </w:pPr>
      <w:r>
        <w:rPr>
          <w:b/>
          <w:i w:val="0"/>
          <w:color w:val="111827"/>
          <w:sz w:val="32"/>
        </w:rPr>
        <w:t>Run the Sprint Retrospective with 5 Whys Root-Cause Analysis</w:t>
      </w:r>
    </w:p>
    <w:p>
      <w:pPr>
        <w:spacing w:after="160"/>
      </w:pPr>
      <w:r>
        <w:rPr>
          <w:b w:val="0"/>
          <w:i w:val="0"/>
          <w:color w:val="555B66"/>
          <w:sz w:val="19"/>
        </w:rPr>
        <w:t>Agile Project Management for Business  ·  TGS-2023018967  ·  Topic 3  ·  LO3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https://alfredang.github.io/5whys/</w:t>
            </w:r>
          </w:p>
        </w:tc>
        <w:tc>
          <w:tcPr>
            <w:tcW w:type="dxa" w:w="5112"/>
            <w:shd w:val="clear" w:color="auto" w:fill="F5F8FC"/>
          </w:tcPr>
          <w:p>
            <w:pPr>
              <w:spacing w:after="20"/>
            </w:pPr>
            <w:r/>
            <w:r>
              <w:rPr>
                <w:b/>
                <w:color w:val="1F6FEB"/>
                <w:sz w:val="16"/>
              </w:rPr>
              <w:t>ACTIVITY FOLDER</w:t>
            </w:r>
          </w:p>
          <w:p>
            <w:pPr>
              <w:spacing w:after="40"/>
            </w:pPr>
            <w:r>
              <w:rPr>
                <w:sz w:val="19"/>
              </w:rPr>
              <w:t>activities/activity-06-*/</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Sprint 1 finished 6 of 20 committed points short. In the review, one customer noted that the shipment status feature 'works but shows yesterday's data'. In the retrospective, the team's first instinct is to blame the carrier data feed. The Scrum Master pushes for a real root cause, because the same class of problem appeared twice in the old waterfall project.</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The ONE problem chosen for analysis, and why that one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2.  </w:t>
      </w:r>
      <w:r>
        <w:rPr>
          <w:b/>
          <w:sz w:val="21"/>
        </w:rPr>
        <w:t>Why 1</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3.  </w:t>
      </w:r>
      <w:r>
        <w:rPr>
          <w:b/>
          <w:sz w:val="21"/>
        </w:rPr>
        <w:t>Why 2</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4.  </w:t>
      </w:r>
      <w:r>
        <w:rPr>
          <w:b/>
          <w:sz w:val="21"/>
        </w:rPr>
        <w:t>Why 3</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5.  </w:t>
      </w:r>
      <w:r>
        <w:rPr>
          <w:b/>
          <w:sz w:val="21"/>
        </w:rPr>
        <w:t>Why 4</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6.  </w:t>
      </w:r>
      <w:r>
        <w:rPr>
          <w:b/>
          <w:sz w:val="21"/>
        </w:rPr>
        <w:t>Why 5 (the root cause)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7.  </w:t>
      </w:r>
      <w:r>
        <w:rPr>
          <w:b/>
          <w:sz w:val="21"/>
        </w:rPr>
        <w:t>Backwards check — read the chain with 'because'. Does every link hold?</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8.  </w:t>
      </w:r>
      <w:r>
        <w:rPr>
          <w:b/>
          <w:sz w:val="21"/>
        </w:rPr>
        <w:t>Is the root cause something YOUR TEAM can change? (If no, keep asking why)</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9.  </w:t>
      </w:r>
      <w:r>
        <w:rPr>
          <w:b/>
          <w:sz w:val="21"/>
        </w:rPr>
        <w:t>SMART action — owner, measure, and deadline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10.  </w:t>
      </w:r>
      <w:r>
        <w:rPr>
          <w:b/>
          <w:sz w:val="21"/>
        </w:rPr>
        <w:t>Story points allocated in the Sprint 2 backlog</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11.  </w:t>
      </w:r>
      <w:r>
        <w:rPr>
          <w:b/>
          <w:sz w:val="21"/>
        </w:rPr>
        <w:t>Plus / Delta on the retrospective itself</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Your chain reaches a process or system cause the team can change, not a person and not an external party. Reading it backwards with 'because' holds together at every link. Your SMART action has an owner, a measure and points in the Sprint 2 backlog. If your root cause is 'the carrier's fault', you stopped at Why 1.</w:t>
      </w:r>
    </w:p>
    <w:p>
      <w:pPr>
        <w:spacing w:after="100"/>
        <w:ind w:left="144"/>
      </w:pPr>
      <w:r>
        <w:rPr>
          <w:b/>
          <w:color w:val="10B981"/>
          <w:sz w:val="26"/>
        </w:rPr>
        <w:t xml:space="preserve">☐   </w:t>
      </w:r>
      <w:r>
        <w:rPr>
          <w:sz w:val="20"/>
        </w:rPr>
        <w:t>Every team member can explain the output, not just the person who typed it.</w:t>
      </w:r>
    </w:p>
    <w:p>
      <w:pPr>
        <w:spacing w:after="100"/>
        <w:ind w:left="144"/>
      </w:pPr>
      <w:r>
        <w:rPr>
          <w:b/>
          <w:color w:val="10B981"/>
          <w:sz w:val="26"/>
        </w:rPr>
        <w:t xml:space="preserve">☐   </w:t>
      </w:r>
      <w:r>
        <w:rPr>
          <w:sz w:val="20"/>
        </w:rPr>
        <w:t>The artefact is exported or screenshotted into this worksheet.</w:t>
      </w:r>
    </w:p>
    <w:p>
      <w:pPr>
        <w:spacing w:after="80"/>
      </w:pPr>
      <w:r>
        <w:rPr>
          <w:b w:val="0"/>
          <w:i w:val="0"/>
          <w:color w:val="111827"/>
          <w:sz w:val="22"/>
        </w:rPr>
      </w:r>
    </w:p>
    <w:p>
      <w:pPr>
        <w:spacing w:after="0"/>
        <w:jc w:val="center"/>
      </w:pPr>
      <w:r>
        <w:rPr>
          <w:b w:val="0"/>
          <w:i w:val="0"/>
          <w:color w:val="555B66"/>
          <w:sz w:val="16"/>
        </w:rPr>
        <w:t>© 2026 Tertiary Infotech Academy Pte Ltd  ·  UEN: 201200696W  ·  Full step-by-step instructions: Learner Guide, Activity 6</w:t>
      </w:r>
    </w:p>
    <w:sectPr w:rsidR="00FC693F" w:rsidRPr="0006063C" w:rsidSect="00034616">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