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drawing>
          <wp:inline xmlns:a="http://schemas.openxmlformats.org/drawingml/2006/main" xmlns:pic="http://schemas.openxmlformats.org/drawingml/2006/picture">
            <wp:extent cx="310896" cy="310896"/>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310896" cy="310896"/>
                    </a:xfrm>
                    <a:prstGeom prst="rect"/>
                  </pic:spPr>
                </pic:pic>
              </a:graphicData>
            </a:graphic>
          </wp:inline>
        </w:drawing>
      </w:r>
    </w:p>
    <w:p>
      <w:pPr>
        <w:spacing w:after="40"/>
      </w:pPr>
      <w:r>
        <w:rPr>
          <w:b/>
          <w:i w:val="0"/>
          <w:color w:val="10B981"/>
          <w:sz w:val="22"/>
        </w:rPr>
        <w:t>ACTIVITY 7 WORKSHEET</w:t>
      </w:r>
    </w:p>
    <w:p>
      <w:pPr>
        <w:spacing w:after="60"/>
      </w:pPr>
      <w:r>
        <w:rPr>
          <w:b/>
          <w:i w:val="0"/>
          <w:color w:val="111827"/>
          <w:sz w:val="32"/>
        </w:rPr>
        <w:t>Prioritise Defect Causes with a Pareto Chart</w:t>
      </w:r>
    </w:p>
    <w:p>
      <w:pPr>
        <w:spacing w:after="160"/>
      </w:pPr>
      <w:r>
        <w:rPr>
          <w:b w:val="0"/>
          <w:i w:val="0"/>
          <w:color w:val="555B66"/>
          <w:sz w:val="19"/>
        </w:rPr>
        <w:t>Agile Project Management for Business  ·  TGS-2023018967  ·  Topic 3  ·  LO3  ·  45 minutes</w:t>
      </w:r>
    </w:p>
    <w:tbl>
      <w:tblPr>
        <w:tblW w:type="auto" w:w="0"/>
        <w:jc w:val="center"/>
        <w:tblLook w:firstColumn="1" w:firstRow="1" w:lastColumn="0" w:lastRow="0" w:noHBand="0" w:noVBand="1" w:val="04A0"/>
      </w:tblPr>
      <w:tblGrid>
        <w:gridCol w:w="5112"/>
        <w:gridCol w:w="5112"/>
      </w:tblGrid>
      <w:tr>
        <w:tc>
          <w:tcPr>
            <w:tcW w:type="dxa" w:w="5112"/>
            <w:shd w:val="clear" w:color="auto" w:fill="F5F8FC"/>
          </w:tcPr>
          <w:p>
            <w:pPr>
              <w:spacing w:after="20"/>
            </w:pPr>
            <w:r/>
            <w:r>
              <w:rPr>
                <w:b/>
                <w:color w:val="1F6FEB"/>
                <w:sz w:val="16"/>
              </w:rPr>
              <w:t>TEAM MEMBERS</w:t>
            </w:r>
          </w:p>
          <w:p>
            <w:pPr>
              <w:spacing w:after="40"/>
            </w:pPr>
            <w:r>
              <w:rPr>
                <w:color w:val="AAAAAA"/>
                <w:sz w:val="20"/>
              </w:rPr>
              <w:t>____________________________________</w:t>
            </w:r>
          </w:p>
        </w:tc>
        <w:tc>
          <w:tcPr>
            <w:tcW w:type="dxa" w:w="5112"/>
            <w:shd w:val="clear" w:color="auto" w:fill="F5F8FC"/>
          </w:tcPr>
          <w:p>
            <w:pPr>
              <w:spacing w:after="20"/>
            </w:pPr>
            <w:r/>
            <w:r>
              <w:rPr>
                <w:b/>
                <w:color w:val="1F6FEB"/>
                <w:sz w:val="16"/>
              </w:rPr>
              <w:t>DATE</w:t>
            </w:r>
          </w:p>
          <w:p>
            <w:pPr>
              <w:spacing w:after="40"/>
            </w:pPr>
            <w:r>
              <w:rPr>
                <w:color w:val="AAAAAA"/>
                <w:sz w:val="20"/>
              </w:rPr>
              <w:t>____________________________________</w:t>
            </w:r>
          </w:p>
        </w:tc>
      </w:tr>
      <w:tr>
        <w:tc>
          <w:tcPr>
            <w:tcW w:type="dxa" w:w="5112"/>
            <w:shd w:val="clear" w:color="auto" w:fill="F5F8FC"/>
          </w:tcPr>
          <w:p>
            <w:pPr>
              <w:spacing w:after="20"/>
            </w:pPr>
            <w:r/>
            <w:r>
              <w:rPr>
                <w:b/>
                <w:color w:val="1F6FEB"/>
                <w:sz w:val="16"/>
              </w:rPr>
              <w:t>TOOL</w:t>
            </w:r>
          </w:p>
          <w:p>
            <w:pPr>
              <w:spacing w:after="40"/>
            </w:pPr>
            <w:r>
              <w:rPr>
                <w:sz w:val="19"/>
              </w:rPr>
              <w:t>https://alfredang.github.io/paretochart/</w:t>
            </w:r>
          </w:p>
        </w:tc>
        <w:tc>
          <w:tcPr>
            <w:tcW w:type="dxa" w:w="5112"/>
            <w:shd w:val="clear" w:color="auto" w:fill="F5F8FC"/>
          </w:tcPr>
          <w:p>
            <w:pPr>
              <w:spacing w:after="20"/>
            </w:pPr>
            <w:r/>
            <w:r>
              <w:rPr>
                <w:b/>
                <w:color w:val="1F6FEB"/>
                <w:sz w:val="16"/>
              </w:rPr>
              <w:t>ACTIVITY FOLDER</w:t>
            </w:r>
          </w:p>
          <w:p>
            <w:pPr>
              <w:spacing w:after="40"/>
            </w:pPr>
            <w:r>
              <w:rPr>
                <w:sz w:val="19"/>
              </w:rPr>
              <w:t>activities/activity-07-*/</w:t>
            </w:r>
          </w:p>
        </w:tc>
      </w:tr>
    </w:tbl>
    <w:p>
      <w:pPr>
        <w:spacing w:after="80"/>
      </w:pPr>
    </w:p>
    <w:tbl>
      <w:tblPr>
        <w:tblW w:type="auto" w:w="0"/>
        <w:jc w:val="center"/>
        <w:tblLook w:firstColumn="1" w:firstRow="1" w:lastColumn="0" w:lastRow="0" w:noHBand="0" w:noVBand="1" w:val="04A0"/>
      </w:tblPr>
      <w:tblGrid>
        <w:gridCol w:w="10224"/>
      </w:tblGrid>
      <w:tr>
        <w:tc>
          <w:tcPr>
            <w:tcW w:type="dxa" w:w="10224"/>
            <w:shd w:val="clear" w:color="auto" w:fill="F5F8FC"/>
          </w:tcPr>
          <w:p>
            <w:pPr>
              <w:spacing w:after="40"/>
            </w:pPr>
            <w:r/>
            <w:r>
              <w:rPr>
                <w:b/>
                <w:color w:val="7C3AED"/>
                <w:sz w:val="17"/>
              </w:rPr>
              <w:t>THE SITUATION</w:t>
            </w:r>
          </w:p>
          <w:p>
            <w:pPr>
              <w:spacing w:after="40"/>
            </w:pPr>
            <w:r>
              <w:rPr>
                <w:sz w:val="18"/>
              </w:rPr>
              <w:t>Three sprints in, CustomerConnect has accumulated 120 logged defects. The team has capacity to attack roughly two root causes in Sprint 4, and the operations manager wants all 120 fixed. The Scrum Master has categorised every defect by cause and wants the team to decide with data rather than by whoever complains loudest.</w:t>
            </w:r>
          </w:p>
        </w:tc>
      </w:tr>
    </w:tbl>
    <w:p>
      <w:pPr>
        <w:spacing w:after="120"/>
      </w:pPr>
    </w:p>
    <w:p>
      <w:pPr>
        <w:spacing w:after="160"/>
      </w:pPr>
      <w:r>
        <w:rPr>
          <w:b/>
          <w:i w:val="0"/>
          <w:color w:val="1F6FEB"/>
          <w:sz w:val="21"/>
        </w:rPr>
        <w:t>Record your team's output below.</w:t>
      </w:r>
    </w:p>
    <w:p>
      <w:pPr>
        <w:spacing w:after="60" w:before="120"/>
      </w:pPr>
      <w:r>
        <w:rPr>
          <w:b/>
          <w:color w:val="1F6FEB"/>
          <w:sz w:val="21"/>
        </w:rPr>
        <w:t xml:space="preserve">1.  </w:t>
      </w:r>
      <w:r>
        <w:rPr>
          <w:b/>
          <w:sz w:val="21"/>
        </w:rPr>
        <w:t>Total defects entered (must be 120)</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2.  </w:t>
      </w:r>
      <w:r>
        <w:rPr>
          <w:b/>
          <w:sz w:val="21"/>
        </w:rPr>
        <w:t>Categories in descending order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3.  </w:t>
      </w:r>
      <w:r>
        <w:rPr>
          <w:b/>
          <w:sz w:val="21"/>
        </w:rPr>
        <w:t>Cumulative % after cause 1 / 2 / 3 / 4</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4.  </w:t>
      </w:r>
      <w:r>
        <w:rPr>
          <w:b/>
          <w:sz w:val="21"/>
        </w:rPr>
        <w:t>The VITAL FEW — which causes, and the % they account for</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5.  </w:t>
      </w:r>
      <w:r>
        <w:rPr>
          <w:b/>
          <w:sz w:val="21"/>
        </w:rPr>
        <w:t>Link to Activity 6 — which root cause sits under the top two bars?</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6.  </w:t>
      </w:r>
      <w:r>
        <w:rPr>
          <w:b/>
          <w:sz w:val="21"/>
        </w:rPr>
        <w:t>Sprint 4 target — numeric and verifiable</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7.  </w:t>
      </w:r>
      <w:r>
        <w:rPr>
          <w:b/>
          <w:sz w:val="21"/>
        </w:rPr>
        <w:t>Your answer to the operations manager who wants all 120 fixed</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60" w:before="120"/>
      </w:pPr>
      <w:r>
        <w:rPr>
          <w:b/>
          <w:color w:val="1F6FEB"/>
          <w:sz w:val="21"/>
        </w:rPr>
        <w:t xml:space="preserve">8.  </w:t>
      </w:r>
      <w:r>
        <w:rPr>
          <w:b/>
          <w:sz w:val="21"/>
        </w:rPr>
        <w:t>What you are deliberately NOT fixing this sprint, and the cost of fixing it</w:t>
      </w:r>
    </w:p>
    <w:tbl>
      <w:tblPr>
        <w:tblW w:type="auto" w:w="0"/>
        <w:jc w:val="center"/>
        <w:tblLook w:firstColumn="1" w:firstRow="1" w:lastColumn="0" w:lastRow="0" w:noHBand="0" w:noVBand="1" w:val="04A0"/>
      </w:tblPr>
      <w:tblGrid>
        <w:gridCol w:w="10224"/>
      </w:tblGrid>
      <w:tr>
        <w:tc>
          <w:tcPr>
            <w:tcW w:type="dxa" w:w="10224"/>
            <w:tcBorders>
              <w:top w:val="single" w:sz="6" w:space="0" w:color="C9D3DF"/>
              <w:left w:val="single" w:sz="6" w:space="0" w:color="C9D3DF"/>
              <w:bottom w:val="single" w:sz="6" w:space="0" w:color="C9D3DF"/>
              <w:right w:val="single" w:sz="6" w:space="0" w:color="C9D3DF"/>
            </w:tcBorders>
          </w:tcPr>
          <w:p>
            <w:pPr>
              <w:spacing w:before="140" w:after="140"/>
              <w:pBdr>
                <w:bottom w:val="single" w:sz="4" w:space="1" w:color="D7E0EA"/>
              </w:pBdr>
            </w:pPr>
            <w:r/>
            <w:r>
              <w:rPr>
                <w:sz w:val="22"/>
              </w:rPr>
            </w:r>
          </w:p>
          <w:p>
            <w:pPr>
              <w:spacing w:before="140" w:after="140"/>
              <w:pBdr>
                <w:bottom w:val="single" w:sz="4" w:space="1" w:color="D7E0EA"/>
              </w:pBdr>
            </w:pPr>
            <w:r>
              <w:rPr>
                <w:sz w:val="22"/>
              </w:rPr>
            </w:r>
          </w:p>
          <w:p>
            <w:pPr>
              <w:spacing w:before="140" w:after="140"/>
              <w:pBdr>
                <w:bottom w:val="single" w:sz="4" w:space="1" w:color="D7E0EA"/>
              </w:pBdr>
            </w:pPr>
            <w:r>
              <w:rPr>
                <w:sz w:val="22"/>
              </w:rPr>
            </w:r>
          </w:p>
        </w:tc>
      </w:tr>
    </w:tbl>
    <w:p>
      <w:pPr>
        <w:spacing w:after="40"/>
      </w:pPr>
    </w:p>
    <w:p>
      <w:pPr>
        <w:spacing w:after="40"/>
      </w:pPr>
    </w:p>
    <w:p>
      <w:pPr>
        <w:spacing w:after="100"/>
      </w:pPr>
      <w:r>
        <w:rPr>
          <w:b/>
          <w:i w:val="0"/>
          <w:color w:val="10B981"/>
          <w:sz w:val="20"/>
        </w:rPr>
        <w:t>SELF-CHECK BEFORE YOU FINISH</w:t>
      </w:r>
    </w:p>
    <w:p>
      <w:pPr>
        <w:spacing w:after="100"/>
        <w:ind w:left="144"/>
      </w:pPr>
      <w:r>
        <w:rPr>
          <w:b/>
          <w:color w:val="10B981"/>
          <w:sz w:val="26"/>
        </w:rPr>
        <w:t xml:space="preserve">☐   </w:t>
      </w:r>
      <w:r>
        <w:rPr>
          <w:sz w:val="20"/>
        </w:rPr>
        <w:t>Your chart is sorted descending, the cumulative line reaches 100%, and your vital few are justified by the crossing point rather than chosen by intuition. Your Sprint 4 target is numeric and verifiable. If your recommendation is 'fix everything', you have not used the chart to make a decision.</w:t>
      </w:r>
    </w:p>
    <w:p>
      <w:pPr>
        <w:spacing w:after="100"/>
        <w:ind w:left="144"/>
      </w:pPr>
      <w:r>
        <w:rPr>
          <w:b/>
          <w:color w:val="10B981"/>
          <w:sz w:val="26"/>
        </w:rPr>
        <w:t xml:space="preserve">☐   </w:t>
      </w:r>
      <w:r>
        <w:rPr>
          <w:sz w:val="20"/>
        </w:rPr>
        <w:t>Every team member can explain the output, not just the person who typed it.</w:t>
      </w:r>
    </w:p>
    <w:p>
      <w:pPr>
        <w:spacing w:after="100"/>
        <w:ind w:left="144"/>
      </w:pPr>
      <w:r>
        <w:rPr>
          <w:b/>
          <w:color w:val="10B981"/>
          <w:sz w:val="26"/>
        </w:rPr>
        <w:t xml:space="preserve">☐   </w:t>
      </w:r>
      <w:r>
        <w:rPr>
          <w:sz w:val="20"/>
        </w:rPr>
        <w:t>The artefact is exported or screenshotted into this worksheet.</w:t>
      </w:r>
    </w:p>
    <w:p>
      <w:pPr>
        <w:spacing w:after="80"/>
      </w:pPr>
      <w:r>
        <w:rPr>
          <w:b w:val="0"/>
          <w:i w:val="0"/>
          <w:color w:val="111827"/>
          <w:sz w:val="22"/>
        </w:rPr>
      </w:r>
    </w:p>
    <w:p>
      <w:pPr>
        <w:spacing w:after="0"/>
        <w:jc w:val="center"/>
      </w:pPr>
      <w:r>
        <w:rPr>
          <w:b w:val="0"/>
          <w:i w:val="0"/>
          <w:color w:val="555B66"/>
          <w:sz w:val="16"/>
        </w:rPr>
        <w:t>© 2026 Tertiary Infotech Academy Pte Ltd  ·  UEN: 201200696W  ·  Full step-by-step instructions: Learner Guide, Activity 7</w:t>
      </w:r>
    </w:p>
    <w:sectPr w:rsidR="00FC693F" w:rsidRPr="0006063C" w:rsidSect="00034616">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