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drawing>
          <wp:inline xmlns:a="http://schemas.openxmlformats.org/drawingml/2006/main" xmlns:pic="http://schemas.openxmlformats.org/drawingml/2006/picture">
            <wp:extent cx="310896" cy="310896"/>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8 WORKSHEET</w:t>
      </w:r>
    </w:p>
    <w:p>
      <w:pPr>
        <w:spacing w:after="60"/>
      </w:pPr>
      <w:r>
        <w:rPr>
          <w:b/>
          <w:i w:val="0"/>
          <w:color w:val="111827"/>
          <w:sz w:val="32"/>
        </w:rPr>
        <w:t>Forecast the Release from Velocity and Read the Agile Metrics</w:t>
      </w:r>
    </w:p>
    <w:p>
      <w:pPr>
        <w:spacing w:after="160"/>
      </w:pPr>
      <w:r>
        <w:rPr>
          <w:b w:val="0"/>
          <w:i w:val="0"/>
          <w:color w:val="555B66"/>
          <w:sz w:val="19"/>
        </w:rPr>
        <w:t>Agile Project Management for Business  ·  TGS-2023018967  ·  Topic 3  ·  LO3  ·  45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https://alfredang.github.io/scrum/</w:t>
            </w:r>
          </w:p>
        </w:tc>
        <w:tc>
          <w:tcPr>
            <w:tcW w:type="dxa" w:w="5112"/>
            <w:shd w:val="clear" w:color="auto" w:fill="F5F8FC"/>
          </w:tcPr>
          <w:p>
            <w:pPr>
              <w:spacing w:after="20"/>
            </w:pPr>
            <w:r/>
            <w:r>
              <w:rPr>
                <w:b/>
                <w:color w:val="1F6FEB"/>
                <w:sz w:val="16"/>
              </w:rPr>
              <w:t>ACTIVITY FOLDER</w:t>
            </w:r>
          </w:p>
          <w:p>
            <w:pPr>
              <w:spacing w:after="40"/>
            </w:pPr>
            <w:r>
              <w:rPr>
                <w:sz w:val="19"/>
              </w:rPr>
              <w:t>activities/activity-08-*/</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The HarbourFront committee meets on Friday and wants one answer: when will the remaining CustomerConnect scope be delivered? The team has completed 4 sprints with velocities of 14, 18, 17 and 21 points. There are 186 points left in the backlog. The programme director wants a single date. The operations manager has separately asked why the support queue keeps growing despite the team 'going faster'.</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Average velocity</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Forecast — average / pessimistic / optimistic (in sprints)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Forecast in calendar weeks (range)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The assumptions your forecast depends on (list them)</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Which CFD band is widening — the bottleneck</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Cycle time trend from the control chart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Explain the growing support queue using Little's Law</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Your recommended action (and why it is NOT 'increase velocity')</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9.  </w:t>
      </w:r>
      <w:r>
        <w:rPr>
          <w:b/>
          <w:sz w:val="21"/>
        </w:rPr>
        <w:t>The one-paragraph answer to the committee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Your answer is a range with assumptions, not a single date. You identify Testing as the bottleneck from the CFD and confirm it with the control chart. You explain the growing queue with Little's Law. If your recommendation is 'increase velocity', re-read the control chart — that is what caused the problem.</w:t>
      </w:r>
    </w:p>
    <w:p>
      <w:pPr>
        <w:spacing w:after="100"/>
        <w:ind w:left="144"/>
      </w:pPr>
      <w:r>
        <w:rPr>
          <w:b/>
          <w:color w:val="10B981"/>
          <w:sz w:val="26"/>
        </w:rPr>
        <w:t xml:space="preserve">☐   </w:t>
      </w:r>
      <w:r>
        <w:rPr>
          <w:sz w:val="20"/>
        </w:rPr>
        <w:t>Every team member can explain the output, not just the person who typed it.</w:t>
      </w:r>
    </w:p>
    <w:p>
      <w:pPr>
        <w:spacing w:after="100"/>
        <w:ind w:left="144"/>
      </w:pPr>
      <w:r>
        <w:rPr>
          <w:b/>
          <w:color w:val="10B981"/>
          <w:sz w:val="26"/>
        </w:rPr>
        <w:t xml:space="preserve">☐   </w:t>
      </w:r>
      <w:r>
        <w:rPr>
          <w:sz w:val="20"/>
        </w:rPr>
        <w:t>The artefact is exported or screenshotted into this worksheet.</w:t>
      </w:r>
    </w:p>
    <w:p>
      <w:pPr>
        <w:spacing w:after="80"/>
      </w:pPr>
      <w:r>
        <w:rPr>
          <w:b w:val="0"/>
          <w:i w:val="0"/>
          <w:color w:val="111827"/>
          <w:sz w:val="22"/>
        </w:rPr>
      </w:r>
    </w:p>
    <w:p>
      <w:pPr>
        <w:spacing w:after="0"/>
        <w:jc w:val="center"/>
      </w:pPr>
      <w:r>
        <w:rPr>
          <w:b w:val="0"/>
          <w:i w:val="0"/>
          <w:color w:val="555B66"/>
          <w:sz w:val="16"/>
        </w:rPr>
        <w:t>© 2026 Tertiary Infotech Academy Pte Ltd  ·  UEN: 201200696W  ·  Full step-by-step instructions: Learner Guide, Activity 8</w:t>
      </w:r>
    </w:p>
    <w:sectPr w:rsidR="00FC693F" w:rsidRPr="0006063C" w:rsidSect="00034616">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