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for Business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TGS-2023018987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Legacy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Prior to this release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Existing TMS papers: Fine-Tuning LLM Models and RAG; version/date not stated in the recovered papers.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Existing course record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7 September 2026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Rebuilt as AI Agents for Business: 220 visual slides, detailed LG, LP, 12 self-contained labs and aligned WA/PP. Original K1-K14/A1-A6 and 60/90 minute timings preserved.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576" w:val="right" w:leader="dot"/>
        </w:tabs>
      </w:pPr>
      <w:r>
        <w:fldChar w:fldCharType="begin" w:fldLock="true"/>
        <w:instrText>TOC \o "1-1" \h \z \u</w:instrText>
        <w:fldChar w:fldCharType="separate"/>
      </w:r>
      <w:r>
        <w:rPr>
          <w:rFonts w:ascii="Arial" w:hAnsi="Arial"/>
          <w:sz w:val="22"/>
        </w:rPr>
        <w:t>Course identity and delivery allocation</w:t>
        <w:tab/>
        <w:t>4</w:t>
        <w:br/>
      </w:r>
      <w:r>
        <w:rPr>
          <w:rFonts w:ascii="Arial" w:hAnsi="Arial"/>
          <w:sz w:val="22"/>
        </w:rPr>
        <w:t>Day 1 - 1 to 110</w:t>
        <w:tab/>
        <w:t>4</w:t>
        <w:br/>
      </w:r>
      <w:r>
        <w:rPr>
          <w:rFonts w:ascii="Arial" w:hAnsi="Arial"/>
          <w:sz w:val="22"/>
        </w:rPr>
        <w:t>Day 2 - 111 to 220</w:t>
        <w:tab/>
        <w:t>5</w:t>
        <w:br/>
      </w:r>
      <w:r>
        <w:rPr>
          <w:rFonts w:ascii="Arial" w:hAnsi="Arial"/>
          <w:sz w:val="22"/>
        </w:rPr>
        <w:t>Lab facilitation and acceptance</w:t>
        <w:tab/>
        <w:t>5</w:t>
        <w:br/>
      </w:r>
      <w:r>
        <w:rPr>
          <w:rFonts w:ascii="Arial" w:hAnsi="Arial"/>
          <w:sz w:val="22"/>
        </w:rPr>
        <w:t>Assessment mapping</w:t>
        <w:tab/>
        <w:t>8</w:t>
        <w:br/>
      </w:r>
      <w:r>
        <w:rPr>
          <w:rFonts w:ascii="Arial" w:hAnsi="Arial"/>
          <w:sz w:val="22"/>
        </w:rPr>
        <w:t>Preparation and release controls</w:t>
        <w:tab/>
        <w:t>9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identity and delivery allocation</w:t>
      </w:r>
    </w:p>
    <w:p>
      <w:r>
        <w:t>AI Agents for Business | TGS-2023018987 | v1.0. Two days, 16 contact hours: 810 instructional minutes plus 150 assessment minutes. Breaks excluded from contact hours. The original WA/PP papers specify 60/90 minutes; these are retained. The website’s 120-minute assessment description requires administrative reconciliation; no TMS duration field is changed by this release.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Day</w:t>
            </w:r>
          </w:p>
        </w:tc>
        <w:tc>
          <w:tcPr>
            <w:tcW w:type="dxa" w:w="2520"/>
          </w:tcPr>
          <w:p>
            <w:r>
              <w:t>Instruction</w:t>
            </w:r>
          </w:p>
        </w:tc>
        <w:tc>
          <w:tcPr>
            <w:tcW w:type="dxa" w:w="2520"/>
          </w:tcPr>
          <w:p>
            <w:r>
              <w:t>Assessment</w:t>
            </w:r>
          </w:p>
        </w:tc>
        <w:tc>
          <w:tcPr>
            <w:tcW w:type="dxa" w:w="2520"/>
          </w:tcPr>
          <w:p>
            <w:r>
              <w:t>Total contact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480 minutes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480 minutes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330 minutes</w:t>
            </w:r>
          </w:p>
        </w:tc>
        <w:tc>
          <w:tcPr>
            <w:tcW w:type="dxa" w:w="2520"/>
          </w:tcPr>
          <w:p>
            <w:r>
              <w:t>150 minutes</w:t>
            </w:r>
          </w:p>
        </w:tc>
        <w:tc>
          <w:tcPr>
            <w:tcW w:type="dxa" w:w="2520"/>
          </w:tcPr>
          <w:p>
            <w:r>
              <w:t>480 minutes</w:t>
            </w:r>
          </w:p>
        </w:tc>
      </w:tr>
      <w:tr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>
              <w:t>810 minutes</w:t>
            </w:r>
          </w:p>
        </w:tc>
        <w:tc>
          <w:tcPr>
            <w:tcW w:type="dxa" w:w="2520"/>
          </w:tcPr>
          <w:p>
            <w:r>
              <w:t>150 minutes</w:t>
            </w:r>
          </w:p>
        </w:tc>
        <w:tc>
          <w:tcPr>
            <w:tcW w:type="dxa" w:w="2520"/>
          </w:tcPr>
          <w:p>
            <w:r>
              <w:t>960 minutes</w:t>
            </w:r>
          </w:p>
        </w:tc>
      </w:tr>
    </w:tbl>
    <w:p>
      <w:pPr>
        <w:pStyle w:val="Heading1"/>
      </w:pPr>
      <w:r>
        <w:t>Day 1 - 1 to 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Session</w:t>
            </w:r>
          </w:p>
        </w:tc>
        <w:tc>
          <w:tcPr>
            <w:tcW w:type="dxa" w:w="2520"/>
          </w:tcPr>
          <w:p>
            <w:r>
              <w:t>Minutes</w:t>
            </w:r>
          </w:p>
        </w:tc>
        <w:tc>
          <w:tcPr>
            <w:tcW w:type="dxa" w:w="2520"/>
          </w:tcPr>
          <w:p>
            <w:r>
              <w:t>Slides</w:t>
            </w:r>
          </w:p>
        </w:tc>
        <w:tc>
          <w:tcPr>
            <w:tcW w:type="dxa" w:w="2520"/>
          </w:tcPr>
          <w:p>
            <w:r>
              <w:t>Method / evidence</w:t>
            </w:r>
          </w:p>
        </w:tc>
      </w:tr>
      <w:tr>
        <w:tc>
          <w:tcPr>
            <w:tcW w:type="dxa" w:w="2520"/>
          </w:tcPr>
          <w:p>
            <w:r>
              <w:t>Topic 1 teaching + administration</w:t>
            </w:r>
          </w:p>
        </w:tc>
        <w:tc>
          <w:tcPr>
            <w:tcW w:type="dxa" w:w="2520"/>
          </w:tcPr>
          <w:p>
            <w:r>
              <w:t>120</w:t>
            </w:r>
          </w:p>
        </w:tc>
        <w:tc>
          <w:tcPr>
            <w:tcW w:type="dxa" w:w="2520"/>
          </w:tcPr>
          <w:p>
            <w:r>
              <w:t>12-60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1: Workflow business case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52-54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2: Tokenize business tickets</w:t>
            </w:r>
          </w:p>
        </w:tc>
        <w:tc>
          <w:tcPr>
            <w:tcW w:type="dxa" w:w="2520"/>
          </w:tcPr>
          <w:p>
            <w:r>
              <w:t>45</w:t>
            </w:r>
          </w:p>
        </w:tc>
        <w:tc>
          <w:tcPr>
            <w:tcW w:type="dxa" w:w="2520"/>
          </w:tcPr>
          <w:p>
            <w:r>
              <w:t>55-57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3: Embeddings and similarity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58-60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Topic 2 teaching + administration</w:t>
            </w:r>
          </w:p>
        </w:tc>
        <w:tc>
          <w:tcPr>
            <w:tcW w:type="dxa" w:w="2520"/>
          </w:tcPr>
          <w:p>
            <w:r>
              <w:t>120</w:t>
            </w:r>
          </w:p>
        </w:tc>
        <w:tc>
          <w:tcPr>
            <w:tcW w:type="dxa" w:w="2520"/>
          </w:tcPr>
          <w:p>
            <w:r>
              <w:t>61-109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4: Grounded policy retrieval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101-103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5: Bounded tool agent</w:t>
            </w:r>
          </w:p>
        </w:tc>
        <w:tc>
          <w:tcPr>
            <w:tcW w:type="dxa" w:w="2520"/>
          </w:tcPr>
          <w:p>
            <w:r>
              <w:t>45</w:t>
            </w:r>
          </w:p>
        </w:tc>
        <w:tc>
          <w:tcPr>
            <w:tcW w:type="dxa" w:w="2520"/>
          </w:tcPr>
          <w:p>
            <w:r>
              <w:t>104-106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6: Support approval workflow</w:t>
            </w:r>
          </w:p>
        </w:tc>
        <w:tc>
          <w:tcPr>
            <w:tcW w:type="dxa" w:w="2520"/>
          </w:tcPr>
          <w:p>
            <w:r>
              <w:t>45</w:t>
            </w:r>
          </w:p>
        </w:tc>
        <w:tc>
          <w:tcPr>
            <w:tcW w:type="dxa" w:w="2520"/>
          </w:tcPr>
          <w:p>
            <w:r>
              <w:t>107-109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</w:tbl>
    <w:p>
      <w:r>
        <w:t>Insert meal and comfort breaks outside the 480 contact minutes. The trainer allocates the teaching/administration block across the topic slides and required opening/closing pages. Slide counts are 110 per day; depth is prioritised through worked examples rather than reading every slide aloud.</w:t>
      </w:r>
    </w:p>
    <w:p>
      <w:pPr>
        <w:pStyle w:val="Heading1"/>
      </w:pPr>
      <w:r>
        <w:t>Day 2 - 111 to 220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Session</w:t>
            </w:r>
          </w:p>
        </w:tc>
        <w:tc>
          <w:tcPr>
            <w:tcW w:type="dxa" w:w="2520"/>
          </w:tcPr>
          <w:p>
            <w:r>
              <w:t>Minutes</w:t>
            </w:r>
          </w:p>
        </w:tc>
        <w:tc>
          <w:tcPr>
            <w:tcW w:type="dxa" w:w="2520"/>
          </w:tcPr>
          <w:p>
            <w:r>
              <w:t>Slides</w:t>
            </w:r>
          </w:p>
        </w:tc>
        <w:tc>
          <w:tcPr>
            <w:tcW w:type="dxa" w:w="2520"/>
          </w:tcPr>
          <w:p>
            <w:r>
              <w:t>Method / evidence</w:t>
            </w:r>
          </w:p>
        </w:tc>
      </w:tr>
      <w:tr>
        <w:tc>
          <w:tcPr>
            <w:tcW w:type="dxa" w:w="2520"/>
          </w:tcPr>
          <w:p>
            <w:r>
              <w:t>Topic 3 teaching + administration</w:t>
            </w:r>
          </w:p>
        </w:tc>
        <w:tc>
          <w:tcPr>
            <w:tcW w:type="dxa" w:w="2520"/>
          </w:tcPr>
          <w:p>
            <w:r>
              <w:t>75</w:t>
            </w:r>
          </w:p>
        </w:tc>
        <w:tc>
          <w:tcPr>
            <w:tcW w:type="dxa" w:w="2520"/>
          </w:tcPr>
          <w:p>
            <w:r>
              <w:t>119-167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7: Sales evidence and consent</w:t>
            </w:r>
          </w:p>
        </w:tc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159-161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8: Invoice exception agent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162-164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9: HR and multi-agent handoffs</w:t>
            </w:r>
          </w:p>
        </w:tc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165-167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Topic 4 teaching + administration</w:t>
            </w:r>
          </w:p>
        </w:tc>
        <w:tc>
          <w:tcPr>
            <w:tcW w:type="dxa" w:w="2520"/>
          </w:tcPr>
          <w:p>
            <w:r>
              <w:t>75</w:t>
            </w:r>
          </w:p>
        </w:tc>
        <w:tc>
          <w:tcPr>
            <w:tcW w:type="dxa" w:w="2520"/>
          </w:tcPr>
          <w:p>
            <w:r>
              <w:t>168-216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10: Train a support classifier</w:t>
            </w:r>
          </w:p>
        </w:tc>
        <w:tc>
          <w:tcPr>
            <w:tcW w:type="dxa" w:w="2520"/>
          </w:tcPr>
          <w:p>
            <w:r>
              <w:t>50</w:t>
            </w:r>
          </w:p>
        </w:tc>
        <w:tc>
          <w:tcPr>
            <w:tcW w:type="dxa" w:w="2520"/>
          </w:tcPr>
          <w:p>
            <w:r>
              <w:t>208-210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11: Agent evaluation scorecard</w:t>
            </w:r>
          </w:p>
        </w:tc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211-213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12: Governance and incident recovery</w:t>
            </w:r>
          </w:p>
        </w:tc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214-216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Written Assessment</w:t>
            </w:r>
          </w:p>
        </w:tc>
        <w:tc>
          <w:tcPr>
            <w:tcW w:type="dxa" w:w="2520"/>
          </w:tcPr>
          <w:p>
            <w:r>
              <w:t>60</w:t>
            </w:r>
          </w:p>
        </w:tc>
        <w:tc>
          <w:tcPr>
            <w:tcW w:type="dxa" w:w="2520"/>
          </w:tcPr>
          <w:p>
            <w:r>
              <w:t>217-219</w:t>
            </w:r>
          </w:p>
        </w:tc>
        <w:tc>
          <w:tcPr>
            <w:tcW w:type="dxa" w:w="2520"/>
          </w:tcPr>
          <w:p>
            <w:r>
              <w:t>Individual open-book knowledge paper, K1-K14</w:t>
            </w:r>
          </w:p>
        </w:tc>
      </w:tr>
      <w:tr>
        <w:tc>
          <w:tcPr>
            <w:tcW w:type="dxa" w:w="2520"/>
          </w:tcPr>
          <w:p>
            <w:r>
              <w:t>Practical Performance</w:t>
            </w:r>
          </w:p>
        </w:tc>
        <w:tc>
          <w:tcPr>
            <w:tcW w:type="dxa" w:w="2520"/>
          </w:tcPr>
          <w:p>
            <w:r>
              <w:t>90</w:t>
            </w:r>
          </w:p>
        </w:tc>
        <w:tc>
          <w:tcPr>
            <w:tcW w:type="dxa" w:w="2520"/>
          </w:tcPr>
          <w:p>
            <w:r>
              <w:t>217-219</w:t>
            </w:r>
          </w:p>
        </w:tc>
        <w:tc>
          <w:tcPr>
            <w:tcW w:type="dxa" w:w="2520"/>
          </w:tcPr>
          <w:p>
            <w:r>
              <w:t>Individual code and evidence, A1-A6</w:t>
            </w:r>
          </w:p>
        </w:tc>
      </w:tr>
    </w:tbl>
    <w:p>
      <w:r>
        <w:t>Insert meal and comfort breaks outside the 480 contact minutes. The trainer allocates the teaching/administration block across the topic slides and required opening/closing pages. Slide counts are 110 per day; depth is prioritised through worked examples rather than reading every slide aloud.</w:t>
      </w:r>
    </w:p>
    <w:p>
      <w:pPr>
        <w:pStyle w:val="Heading1"/>
      </w:pPr>
      <w:r>
        <w:t>Lab facilitation and acceptance</w:t>
      </w:r>
    </w:p>
    <w:p>
      <w:pPr>
        <w:pStyle w:val="Heading2"/>
      </w:pPr>
      <w:r>
        <w:t>Lab 1: Workflow business case - slides 52-54</w:t>
      </w:r>
    </w:p>
    <w:p>
      <w:r>
        <w:t>Select a bounded business workflow and calculate net capacity released.</w:t>
      </w:r>
    </w:p>
    <w:p>
      <w:r>
        <w:t>Alignment: K1, B02, B09, B10</w:t>
      </w:r>
    </w:p>
    <w:p>
      <w:r>
        <w:t>Evidence: Support baseline releases 83.33 hours before additional overhead. The proposed pilot includes an owner and an explicit action boundary. A sensitivity result and quality floor accompany the financial claim.</w:t>
      </w:r>
    </w:p>
    <w:p>
      <w:r>
        <w:t>Resources: labs/lab-01-workflow-business-case;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2: Tokenize business tickets - slides 55-57</w:t>
      </w:r>
    </w:p>
    <w:p>
      <w:r>
        <w:t>Use a real Hugging Face tokenizer and explain IDs, masks, subwords and unknown terms.</w:t>
      </w:r>
    </w:p>
    <w:p>
      <w:r>
        <w:t>Alignment: K3, K6, K7; A1</w:t>
      </w:r>
    </w:p>
    <w:p>
      <w:r>
        <w:t>Evidence: Real Hugging Face BertTokenizerFast output exists. Token IDs and masks have equal length for every example. The learner explains unknown tokens, subword boundaries and truncation.</w:t>
      </w:r>
    </w:p>
    <w:p>
      <w:r>
        <w:t>Resources: labs/lab-02-tokenize-business-tickets;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3: Embeddings and similarity - slides 58-60</w:t>
      </w:r>
    </w:p>
    <w:p>
      <w:r>
        <w:t>Represent tokens with a transformer and compare cosine with Euclidean similarity.</w:t>
      </w:r>
    </w:p>
    <w:p>
      <w:r>
        <w:t>Alignment: K2, K4, K8, K10, K11; A2, A3</w:t>
      </w:r>
    </w:p>
    <w:p>
      <w:r>
        <w:t>Evidence: The real encoder output shape is recorded. Cosine(q,d1)=1 and cosine(q,d2) is about 0.7071. The report distinguishes encoder representation from autoregressive text generation.</w:t>
      </w:r>
    </w:p>
    <w:p>
      <w:r>
        <w:t>Resources: labs/lab-03-embeddings-and-similarity;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4: Grounded policy retrieval - slides 101-103</w:t>
      </w:r>
    </w:p>
    <w:p>
      <w:r>
        <w:t>Retrieve supporting policy clauses and abstain when evidence is absent.</w:t>
      </w:r>
    </w:p>
    <w:p>
      <w:r>
        <w:t>Alignment: K8, K12, K14, B03-B05</w:t>
      </w:r>
    </w:p>
    <w:p>
      <w:r>
        <w:t>Evidence: Every asserted rule has a supporting policy ID. The missing shipping guarantee triggers abstention. Injected document instructions do not grant authority.</w:t>
      </w:r>
    </w:p>
    <w:p>
      <w:r>
        <w:t>Resources: labs/lab-04-grounded-policy-retrieval;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5: Bounded tool agent - slides 104-106</w:t>
      </w:r>
    </w:p>
    <w:p>
      <w:r>
        <w:t>Run a model-directed tool loop with schema checks and a strict read-only boundary.</w:t>
      </w:r>
    </w:p>
    <w:p>
      <w:r>
        <w:t>Alignment: B01, B02, B06-B08, B12</w:t>
      </w:r>
    </w:p>
    <w:p>
      <w:r>
        <w:t>Evidence: Allowed lookup returns O-104 with a source record. Cross-customer lookup and write tools are rejected. The final answer relies on actual tool results and stops within six rounds.</w:t>
      </w:r>
    </w:p>
    <w:p>
      <w:r>
        <w:t>Resources: labs/lab-05-bounded-tool-agent;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6: Support approval workflow - slides 107-109</w:t>
      </w:r>
    </w:p>
    <w:p>
      <w:r>
        <w:t>Prepare a refund response and demonstrate approval-bound state transitions.</w:t>
      </w:r>
    </w:p>
    <w:p>
      <w:r>
        <w:t>Alignment: K1, K12, B08, B13-B15</w:t>
      </w:r>
    </w:p>
    <w:p>
      <w:r>
        <w:t>Evidence: Missing receipt does not become an approved refund. The repeated request does not create a second ledger operation. Approval is tied to the exact action payload.</w:t>
      </w:r>
    </w:p>
    <w:p>
      <w:r>
        <w:t>Resources: labs/lab-06-support-approval-workflow;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7: Sales evidence and consent - slides 159-161</w:t>
      </w:r>
    </w:p>
    <w:p>
      <w:r>
        <w:t>Produce sourced lead briefs and consent-respecting outreach drafts.</w:t>
      </w:r>
    </w:p>
    <w:p>
      <w:r>
        <w:t>Alignment: K1, B16-B18</w:t>
      </w:r>
    </w:p>
    <w:p>
      <w:r>
        <w:t>Evidence: L-01 score is 75; L-02 score is 40. No-contact records are marked research_only. Every marketing claim is from the approved claim file.</w:t>
      </w:r>
    </w:p>
    <w:p>
      <w:r>
        <w:t>Resources: labs/lab-07-sales-evidence-and-consent;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8: Invoice exception agent - slides 162-164</w:t>
      </w:r>
    </w:p>
    <w:p>
      <w:r>
        <w:t>Perform deterministic three-way matching and explain exceptions with evidence.</w:t>
      </w:r>
    </w:p>
    <w:p>
      <w:r>
        <w:t>Alignment: K1, B19, B20</w:t>
      </w:r>
    </w:p>
    <w:p>
      <w:r>
        <w:t>Evidence: INV-100 variance is 50.00. Duplicate and missing-PO records are flagged. The memo does not authorise payment.</w:t>
      </w:r>
    </w:p>
    <w:p>
      <w:r>
        <w:t>Resources: labs/lab-08-invoice-exception-agent;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9: HR and multi-agent handoffs - slides 165-167</w:t>
      </w:r>
    </w:p>
    <w:p>
      <w:r>
        <w:t>Coordinate two bounded specialist roles and reconcile their outputs.</w:t>
      </w:r>
    </w:p>
    <w:p>
      <w:r>
        <w:t>Alignment: K12, B21-B24</w:t>
      </w:r>
    </w:p>
    <w:p>
      <w:r>
        <w:t>Evidence: Operations staff do not receive manager-only approvals. The handoff preserves task_id and source references. The final checklist resolves or escalates conflicting evidence.</w:t>
      </w:r>
    </w:p>
    <w:p>
      <w:r>
        <w:t>Resources: labs/lab-09-hr-and-multi-agent-handoffs;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10: Train a support classifier - slides 208-210</w:t>
      </w:r>
    </w:p>
    <w:p>
      <w:r>
        <w:t>Train and compare real Hugging Face classifiers and a transparent baseline.</w:t>
      </w:r>
    </w:p>
    <w:p>
      <w:r>
        <w:t>Alignment: K5, K9, K13; A4, A5, A6</w:t>
      </w:r>
    </w:p>
    <w:p>
      <w:r>
        <w:t>Evidence: Training runs use real gradients and save a reloadable model. Training/validation/test IDs and texts are disjoint. Two strategies and a count baseline are compared; selection uses validation only.</w:t>
      </w:r>
    </w:p>
    <w:p>
      <w:r>
        <w:t>Resources: labs/lab-10-train-a-support-classifier;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11: Agent evaluation scorecard - slides 211-213</w:t>
      </w:r>
    </w:p>
    <w:p>
      <w:r>
        <w:t>Compute task-quality and cost metrics with explicit denominators.</w:t>
      </w:r>
    </w:p>
    <w:p>
      <w:r>
        <w:t>Alignment: K9, K13, B25-B30</w:t>
      </w:r>
    </w:p>
    <w:p>
      <w:r>
        <w:t>Evidence: Precision=0.75, recall=0.90, accuracy=0.92. Cost per success includes the cost of failed runs. Release recommendation includes failure evidence, not only averages.</w:t>
      </w:r>
    </w:p>
    <w:p>
      <w:r>
        <w:t>Resources: labs/lab-11-agent-evaluation-scorecard;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12: Governance and incident recovery - slides 214-216</w:t>
      </w:r>
    </w:p>
    <w:p>
      <w:r>
        <w:t>Test denied actions, approval binding and a stop/recovery plan.</w:t>
      </w:r>
    </w:p>
    <w:p>
      <w:r>
        <w:t>Alignment: B31-B38</w:t>
      </w:r>
    </w:p>
    <w:p>
      <w:r>
        <w:t>Evidence: Unapproved writes and cross-customer reads are denied by code. Stop state prevents execution regardless of model output. Recovery checks transaction state before retry and assigns an owner.</w:t>
      </w:r>
    </w:p>
    <w:p>
      <w:r>
        <w:t>Resources: labs/lab-12-governance-and-incident-recovery; README/PROMPTS PDFs, synthetic data, scripts and output template. Trainer observes actual execution and independently checks the learner’s interpretation.</w:t>
      </w:r>
    </w:p>
    <w:p>
      <w:pPr>
        <w:pStyle w:val="Heading1"/>
      </w:pPr>
      <w:r>
        <w:t>Assessment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Criterion</w:t>
            </w:r>
          </w:p>
        </w:tc>
        <w:tc>
          <w:tcPr>
            <w:tcW w:type="dxa" w:w="3360"/>
          </w:tcPr>
          <w:p>
            <w:r>
              <w:t>WA question / PP task</w:t>
            </w:r>
          </w:p>
        </w:tc>
        <w:tc>
          <w:tcPr>
            <w:tcW w:type="dxa" w:w="3360"/>
          </w:tcPr>
          <w:p>
            <w:r>
              <w:t>Taught evidence</w:t>
            </w:r>
          </w:p>
        </w:tc>
      </w:tr>
      <w:tr>
        <w:tc>
          <w:tcPr>
            <w:tcW w:type="dxa" w:w="3360"/>
          </w:tcPr>
          <w:p>
            <w:r>
              <w:t>K1</w:t>
            </w:r>
          </w:p>
        </w:tc>
        <w:tc>
          <w:tcPr>
            <w:tcW w:type="dxa" w:w="3360"/>
          </w:tcPr>
          <w:p>
            <w:r>
              <w:t>WA Question 1</w:t>
            </w:r>
          </w:p>
        </w:tc>
        <w:tc>
          <w:tcPr>
            <w:tcW w:type="dxa" w:w="3360"/>
          </w:tcPr>
          <w:p>
            <w:r>
              <w:t>Slides 13-15</w:t>
            </w:r>
          </w:p>
        </w:tc>
      </w:tr>
      <w:tr>
        <w:tc>
          <w:tcPr>
            <w:tcW w:type="dxa" w:w="3360"/>
          </w:tcPr>
          <w:p>
            <w:r>
              <w:t>K2</w:t>
            </w:r>
          </w:p>
        </w:tc>
        <w:tc>
          <w:tcPr>
            <w:tcW w:type="dxa" w:w="3360"/>
          </w:tcPr>
          <w:p>
            <w:r>
              <w:t>WA Question 2</w:t>
            </w:r>
          </w:p>
        </w:tc>
        <w:tc>
          <w:tcPr>
            <w:tcW w:type="dxa" w:w="3360"/>
          </w:tcPr>
          <w:p>
            <w:r>
              <w:t>Slides 16-18</w:t>
            </w:r>
          </w:p>
        </w:tc>
      </w:tr>
      <w:tr>
        <w:tc>
          <w:tcPr>
            <w:tcW w:type="dxa" w:w="3360"/>
          </w:tcPr>
          <w:p>
            <w:r>
              <w:t>K3</w:t>
            </w:r>
          </w:p>
        </w:tc>
        <w:tc>
          <w:tcPr>
            <w:tcW w:type="dxa" w:w="3360"/>
          </w:tcPr>
          <w:p>
            <w:r>
              <w:t>WA Question 3</w:t>
            </w:r>
          </w:p>
        </w:tc>
        <w:tc>
          <w:tcPr>
            <w:tcW w:type="dxa" w:w="3360"/>
          </w:tcPr>
          <w:p>
            <w:r>
              <w:t>Slides 19-21</w:t>
            </w:r>
          </w:p>
        </w:tc>
      </w:tr>
      <w:tr>
        <w:tc>
          <w:tcPr>
            <w:tcW w:type="dxa" w:w="3360"/>
          </w:tcPr>
          <w:p>
            <w:r>
              <w:t>K4</w:t>
            </w:r>
          </w:p>
        </w:tc>
        <w:tc>
          <w:tcPr>
            <w:tcW w:type="dxa" w:w="3360"/>
          </w:tcPr>
          <w:p>
            <w:r>
              <w:t>WA Question 4</w:t>
            </w:r>
          </w:p>
        </w:tc>
        <w:tc>
          <w:tcPr>
            <w:tcW w:type="dxa" w:w="3360"/>
          </w:tcPr>
          <w:p>
            <w:r>
              <w:t>Slides 22-24</w:t>
            </w:r>
          </w:p>
        </w:tc>
      </w:tr>
      <w:tr>
        <w:tc>
          <w:tcPr>
            <w:tcW w:type="dxa" w:w="3360"/>
          </w:tcPr>
          <w:p>
            <w:r>
              <w:t>K5</w:t>
            </w:r>
          </w:p>
        </w:tc>
        <w:tc>
          <w:tcPr>
            <w:tcW w:type="dxa" w:w="3360"/>
          </w:tcPr>
          <w:p>
            <w:r>
              <w:t>WA Question 5</w:t>
            </w:r>
          </w:p>
        </w:tc>
        <w:tc>
          <w:tcPr>
            <w:tcW w:type="dxa" w:w="3360"/>
          </w:tcPr>
          <w:p>
            <w:r>
              <w:t>Slides 25-27</w:t>
            </w:r>
          </w:p>
        </w:tc>
      </w:tr>
      <w:tr>
        <w:tc>
          <w:tcPr>
            <w:tcW w:type="dxa" w:w="3360"/>
          </w:tcPr>
          <w:p>
            <w:r>
              <w:t>K6</w:t>
            </w:r>
          </w:p>
        </w:tc>
        <w:tc>
          <w:tcPr>
            <w:tcW w:type="dxa" w:w="3360"/>
          </w:tcPr>
          <w:p>
            <w:r>
              <w:t>WA Question 6</w:t>
            </w:r>
          </w:p>
        </w:tc>
        <w:tc>
          <w:tcPr>
            <w:tcW w:type="dxa" w:w="3360"/>
          </w:tcPr>
          <w:p>
            <w:r>
              <w:t>Slides 28-30</w:t>
            </w:r>
          </w:p>
        </w:tc>
      </w:tr>
      <w:tr>
        <w:tc>
          <w:tcPr>
            <w:tcW w:type="dxa" w:w="3360"/>
          </w:tcPr>
          <w:p>
            <w:r>
              <w:t>K7</w:t>
            </w:r>
          </w:p>
        </w:tc>
        <w:tc>
          <w:tcPr>
            <w:tcW w:type="dxa" w:w="3360"/>
          </w:tcPr>
          <w:p>
            <w:r>
              <w:t>WA Question 7</w:t>
            </w:r>
          </w:p>
        </w:tc>
        <w:tc>
          <w:tcPr>
            <w:tcW w:type="dxa" w:w="3360"/>
          </w:tcPr>
          <w:p>
            <w:r>
              <w:t>Slides 31-33</w:t>
            </w:r>
          </w:p>
        </w:tc>
      </w:tr>
      <w:tr>
        <w:tc>
          <w:tcPr>
            <w:tcW w:type="dxa" w:w="3360"/>
          </w:tcPr>
          <w:p>
            <w:r>
              <w:t>K8</w:t>
            </w:r>
          </w:p>
        </w:tc>
        <w:tc>
          <w:tcPr>
            <w:tcW w:type="dxa" w:w="3360"/>
          </w:tcPr>
          <w:p>
            <w:r>
              <w:t>WA Question 8</w:t>
            </w:r>
          </w:p>
        </w:tc>
        <w:tc>
          <w:tcPr>
            <w:tcW w:type="dxa" w:w="3360"/>
          </w:tcPr>
          <w:p>
            <w:r>
              <w:t>Slides 34-36</w:t>
            </w:r>
          </w:p>
        </w:tc>
      </w:tr>
      <w:tr>
        <w:tc>
          <w:tcPr>
            <w:tcW w:type="dxa" w:w="3360"/>
          </w:tcPr>
          <w:p>
            <w:r>
              <w:t>K9</w:t>
            </w:r>
          </w:p>
        </w:tc>
        <w:tc>
          <w:tcPr>
            <w:tcW w:type="dxa" w:w="3360"/>
          </w:tcPr>
          <w:p>
            <w:r>
              <w:t>WA Question 9</w:t>
            </w:r>
          </w:p>
        </w:tc>
        <w:tc>
          <w:tcPr>
            <w:tcW w:type="dxa" w:w="3360"/>
          </w:tcPr>
          <w:p>
            <w:r>
              <w:t>Slides 37-39</w:t>
            </w:r>
          </w:p>
        </w:tc>
      </w:tr>
      <w:tr>
        <w:tc>
          <w:tcPr>
            <w:tcW w:type="dxa" w:w="3360"/>
          </w:tcPr>
          <w:p>
            <w:r>
              <w:t>K10</w:t>
            </w:r>
          </w:p>
        </w:tc>
        <w:tc>
          <w:tcPr>
            <w:tcW w:type="dxa" w:w="3360"/>
          </w:tcPr>
          <w:p>
            <w:r>
              <w:t>WA Question 10</w:t>
            </w:r>
          </w:p>
        </w:tc>
        <w:tc>
          <w:tcPr>
            <w:tcW w:type="dxa" w:w="3360"/>
          </w:tcPr>
          <w:p>
            <w:r>
              <w:t>Slides 40-42</w:t>
            </w:r>
          </w:p>
        </w:tc>
      </w:tr>
      <w:tr>
        <w:tc>
          <w:tcPr>
            <w:tcW w:type="dxa" w:w="3360"/>
          </w:tcPr>
          <w:p>
            <w:r>
              <w:t>K11</w:t>
            </w:r>
          </w:p>
        </w:tc>
        <w:tc>
          <w:tcPr>
            <w:tcW w:type="dxa" w:w="3360"/>
          </w:tcPr>
          <w:p>
            <w:r>
              <w:t>WA Question 11</w:t>
            </w:r>
          </w:p>
        </w:tc>
        <w:tc>
          <w:tcPr>
            <w:tcW w:type="dxa" w:w="3360"/>
          </w:tcPr>
          <w:p>
            <w:r>
              <w:t>Slides 43-45</w:t>
            </w:r>
          </w:p>
        </w:tc>
      </w:tr>
      <w:tr>
        <w:tc>
          <w:tcPr>
            <w:tcW w:type="dxa" w:w="3360"/>
          </w:tcPr>
          <w:p>
            <w:r>
              <w:t>K12</w:t>
            </w:r>
          </w:p>
        </w:tc>
        <w:tc>
          <w:tcPr>
            <w:tcW w:type="dxa" w:w="3360"/>
          </w:tcPr>
          <w:p>
            <w:r>
              <w:t>WA Question 12</w:t>
            </w:r>
          </w:p>
        </w:tc>
        <w:tc>
          <w:tcPr>
            <w:tcW w:type="dxa" w:w="3360"/>
          </w:tcPr>
          <w:p>
            <w:r>
              <w:t>Slides 46-48</w:t>
            </w:r>
          </w:p>
        </w:tc>
      </w:tr>
      <w:tr>
        <w:tc>
          <w:tcPr>
            <w:tcW w:type="dxa" w:w="3360"/>
          </w:tcPr>
          <w:p>
            <w:r>
              <w:t>K13</w:t>
            </w:r>
          </w:p>
        </w:tc>
        <w:tc>
          <w:tcPr>
            <w:tcW w:type="dxa" w:w="3360"/>
          </w:tcPr>
          <w:p>
            <w:r>
              <w:t>WA Question 13</w:t>
            </w:r>
          </w:p>
        </w:tc>
        <w:tc>
          <w:tcPr>
            <w:tcW w:type="dxa" w:w="3360"/>
          </w:tcPr>
          <w:p>
            <w:r>
              <w:t>Slides 49-51</w:t>
            </w:r>
          </w:p>
        </w:tc>
      </w:tr>
      <w:tr>
        <w:tc>
          <w:tcPr>
            <w:tcW w:type="dxa" w:w="3360"/>
          </w:tcPr>
          <w:p>
            <w:r>
              <w:t>K14</w:t>
            </w:r>
          </w:p>
        </w:tc>
        <w:tc>
          <w:tcPr>
            <w:tcW w:type="dxa" w:w="3360"/>
          </w:tcPr>
          <w:p>
            <w:r>
              <w:t>WA Question 14</w:t>
            </w:r>
          </w:p>
        </w:tc>
        <w:tc>
          <w:tcPr>
            <w:tcW w:type="dxa" w:w="3360"/>
          </w:tcPr>
          <w:p>
            <w:r>
              <w:t>Slides 62-64</w:t>
            </w:r>
          </w:p>
        </w:tc>
      </w:tr>
      <w:tr>
        <w:tc>
          <w:tcPr>
            <w:tcW w:type="dxa" w:w="3360"/>
          </w:tcPr>
          <w:p>
            <w:r>
              <w:t>A1</w:t>
            </w:r>
          </w:p>
        </w:tc>
        <w:tc>
          <w:tcPr>
            <w:tcW w:type="dxa" w:w="3360"/>
          </w:tcPr>
          <w:p>
            <w:r>
              <w:t>PP Task 1</w:t>
            </w:r>
          </w:p>
        </w:tc>
        <w:tc>
          <w:tcPr>
            <w:tcW w:type="dxa" w:w="3360"/>
          </w:tcPr>
          <w:p>
            <w:r>
              <w:t>Lab 2</w:t>
            </w:r>
          </w:p>
        </w:tc>
      </w:tr>
      <w:tr>
        <w:tc>
          <w:tcPr>
            <w:tcW w:type="dxa" w:w="3360"/>
          </w:tcPr>
          <w:p>
            <w:r>
              <w:t>A2, A3</w:t>
            </w:r>
          </w:p>
        </w:tc>
        <w:tc>
          <w:tcPr>
            <w:tcW w:type="dxa" w:w="3360"/>
          </w:tcPr>
          <w:p>
            <w:r>
              <w:t>PP Task 2</w:t>
            </w:r>
          </w:p>
        </w:tc>
        <w:tc>
          <w:tcPr>
            <w:tcW w:type="dxa" w:w="3360"/>
          </w:tcPr>
          <w:p>
            <w:r>
              <w:t>Lab 3</w:t>
            </w:r>
          </w:p>
        </w:tc>
      </w:tr>
      <w:tr>
        <w:tc>
          <w:tcPr>
            <w:tcW w:type="dxa" w:w="3360"/>
          </w:tcPr>
          <w:p>
            <w:r>
              <w:t>A4</w:t>
            </w:r>
          </w:p>
        </w:tc>
        <w:tc>
          <w:tcPr>
            <w:tcW w:type="dxa" w:w="3360"/>
          </w:tcPr>
          <w:p>
            <w:r>
              <w:t>PP Task 3</w:t>
            </w:r>
          </w:p>
        </w:tc>
        <w:tc>
          <w:tcPr>
            <w:tcW w:type="dxa" w:w="3360"/>
          </w:tcPr>
          <w:p>
            <w:r>
              <w:t>Lab 10</w:t>
            </w:r>
          </w:p>
        </w:tc>
      </w:tr>
      <w:tr>
        <w:tc>
          <w:tcPr>
            <w:tcW w:type="dxa" w:w="3360"/>
          </w:tcPr>
          <w:p>
            <w:r>
              <w:t>A5, A6</w:t>
            </w:r>
          </w:p>
        </w:tc>
        <w:tc>
          <w:tcPr>
            <w:tcW w:type="dxa" w:w="3360"/>
          </w:tcPr>
          <w:p>
            <w:r>
              <w:t>PP Task 4</w:t>
            </w:r>
          </w:p>
        </w:tc>
        <w:tc>
          <w:tcPr>
            <w:tcW w:type="dxa" w:w="3360"/>
          </w:tcPr>
          <w:p>
            <w:r>
              <w:t>Lab 10</w:t>
            </w:r>
          </w:p>
        </w:tc>
      </w:tr>
    </w:tbl>
    <w:p>
      <w:pPr>
        <w:pStyle w:val="Heading1"/>
      </w:pPr>
      <w:r>
        <w:t>Preparation and release controls</w:t>
      </w:r>
    </w:p>
    <w:p>
      <w:r>
        <w:t>Verify package version, install the three model-lab environments and execute all verification scripts before delivery. Keep answer keys private. Use the current LMS candidate papers and preserve the 60/90-minute timings. Record technical failures and provide an equivalent controlled rerun rather than fabricating evidence.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