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/>
        <w:jc w:val="center"/>
      </w:pPr>
      <w:r>
        <w:rPr>
          <w:rFonts w:ascii="Arial" w:hAnsi="Arial"/>
          <w:b/>
          <w:color w:val="008E8E"/>
          <w:sz w:val="36"/>
        </w:rPr>
        <w:t>LEARNER GUIDE</w:t>
      </w:r>
    </w:p>
    <w:p>
      <w:pPr>
        <w:spacing w:before="240"/>
        <w:jc w:val="center"/>
      </w:pPr>
      <w:r>
        <w:rPr>
          <w:rFonts w:ascii="Arial" w:hAnsi="Arial"/>
          <w:b/>
          <w:color w:val="17242B"/>
          <w:sz w:val="56"/>
        </w:rPr>
        <w:t>Advanced Transactional Accounting with QuickBooks Online</w:t>
      </w:r>
    </w:p>
    <w:p>
      <w:pPr>
        <w:jc w:val="center"/>
      </w:pPr>
      <w:r>
        <w:rPr>
          <w:rFonts w:ascii="Arial" w:hAnsi="Arial"/>
          <w:color w:val="5B6573"/>
          <w:sz w:val="22"/>
        </w:rPr>
        <w:t>WSQ Course Code: TGS-2023018989</w:t>
      </w:r>
    </w:p>
    <w:p>
      <w:pPr>
        <w:jc w:val="center"/>
      </w:pPr>
      <w:r>
        <w:rPr>
          <w:rFonts w:ascii="Arial" w:hAnsi="Arial"/>
          <w:color w:val="5B6573"/>
          <w:sz w:val="22"/>
        </w:rPr>
        <w:t>TSC: Transactional Accounting · ACC-CRP-4009-1.1</w:t>
      </w:r>
    </w:p>
    <w:p>
      <w:pPr>
        <w:jc w:val="center"/>
      </w:pPr>
      <w:r>
        <w:rPr>
          <w:rFonts w:ascii="Arial" w:hAnsi="Arial"/>
          <w:color w:val="5B6573"/>
          <w:sz w:val="22"/>
        </w:rPr>
        <w:t>Conducted by Tertiary Infotech Academy Pte Ltd · UEN 201200696W</w:t>
      </w:r>
    </w:p>
    <w:p>
      <w:pPr>
        <w:jc w:val="center"/>
      </w:pPr>
      <w:r>
        <w:rPr>
          <w:rFonts w:ascii="Arial" w:hAnsi="Arial"/>
          <w:color w:val="5B6573"/>
          <w:sz w:val="22"/>
        </w:rPr>
        <w:t>Version 11.0 · 16 August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98"/>
            <w:vAlign w:val="center"/>
          </w:tcPr>
          <w:p>
            <w:r>
              <w:t>10.0</w:t>
            </w:r>
          </w:p>
        </w:tc>
        <w:tc>
          <w:tcPr>
            <w:tcW w:type="dxa" w:w="2498"/>
            <w:vAlign w:val="center"/>
          </w:tcPr>
          <w:p>
            <w:r>
              <w:t>Legacy release</w:t>
            </w:r>
          </w:p>
        </w:tc>
        <w:tc>
          <w:tcPr>
            <w:tcW w:type="dxa" w:w="2498"/>
            <w:vAlign w:val="center"/>
          </w:tcPr>
          <w:p>
            <w:r>
              <w:t>Legacy trainer-slide baseline.</w:t>
            </w:r>
          </w:p>
        </w:tc>
        <w:tc>
          <w:tcPr>
            <w:tcW w:type="dxa" w:w="2498"/>
            <w:vAlign w:val="center"/>
          </w:tcPr>
          <w:p>
            <w:r>
              <w:t>Tertiary Infotech Academy</w:t>
            </w:r>
          </w:p>
        </w:tc>
      </w:tr>
      <w:tr>
        <w:tc>
          <w:tcPr>
            <w:tcW w:type="dxa" w:w="2498"/>
            <w:vAlign w:val="center"/>
          </w:tcPr>
          <w:p>
            <w:r>
              <w:t>11.0</w:t>
            </w:r>
          </w:p>
        </w:tc>
        <w:tc>
          <w:tcPr>
            <w:tcW w:type="dxa" w:w="2498"/>
            <w:vAlign w:val="center"/>
          </w:tcPr>
          <w:p>
            <w:r>
              <w:t>16 August 2026</w:t>
            </w:r>
          </w:p>
        </w:tc>
        <w:tc>
          <w:tcPr>
            <w:tcW w:type="dxa" w:w="2498"/>
            <w:vAlign w:val="center"/>
          </w:tcPr>
          <w:p>
            <w:r>
              <w:t>Rebuilt Learner Guide with advanced QuickBooks Online controls, detailed activities, current Singapore GST context, SFRS(I)/FRS framing, and cross-artifact assessment alignment.</w:t>
            </w:r>
          </w:p>
        </w:tc>
        <w:tc>
          <w:tcPr>
            <w:tcW w:type="dxa" w:w="2498"/>
            <w:vAlign w:val="center"/>
          </w:tcPr>
          <w:p>
            <w:r>
              <w:t>Dr Alfred Ang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update field in Microsoft Word if page numbers are not visible.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997"/>
          </w:tcPr>
          <w:p>
            <w:r>
              <w:t>Advanced Transactional Accounting with QuickBooks Online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997"/>
          </w:tcPr>
          <w:p>
            <w:r>
              <w:t>TGS-2023018989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TSC</w:t>
            </w:r>
          </w:p>
        </w:tc>
        <w:tc>
          <w:tcPr>
            <w:tcW w:type="dxa" w:w="4997"/>
          </w:tcPr>
          <w:p>
            <w:r>
              <w:t>Transactional Accounting · ACC-CRP-4009-1.1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2 days · 16 hours, including a 2-hour final assessment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4997"/>
          </w:tcPr>
          <w:p>
            <w:r>
              <w:t>Basic QuickBooks Online knowledge and at least one year of working experience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LMS</w:t>
            </w:r>
          </w:p>
        </w:tc>
        <w:tc>
          <w:tcPr>
            <w:tcW w:type="dxa" w:w="4997"/>
          </w:tcPr>
          <w:p>
            <w:r>
              <w:t>https://lms-tms.tertiaryinfotech.com/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t>LO1: Perform advanced transactional accounting and double-entry accounting in a controlled QuickBooks Online workflow.</w:t>
      </w:r>
    </w:p>
    <w:p>
      <w:pPr>
        <w:pStyle w:val="ListBullet"/>
        <w:spacing w:after="60"/>
      </w:pPr>
      <w:r>
        <w:t>LO2: Produce accurate financial statements, supporting schedules, and management reports from validated accounting data.</w:t>
      </w:r>
    </w:p>
    <w:p>
      <w:pPr>
        <w:pStyle w:val="ListBullet"/>
        <w:spacing w:after="60"/>
      </w:pPr>
      <w:r>
        <w:t>LO3: Determine and communicate how reporting standards and accounting judgements affect financial information.</w:t>
      </w:r>
    </w:p>
    <w:p>
      <w:pPr>
        <w:pStyle w:val="Heading1"/>
      </w:pPr>
      <w:r>
        <w:t>Safe Practice Company and Evidence Rules</w:t>
      </w:r>
    </w:p>
    <w:p>
      <w:pPr>
        <w:pStyle w:val="ListBullet"/>
        <w:spacing w:after="60"/>
      </w:pPr>
      <w:r>
        <w:t>Use the fictional activity data only. Never upload real customer, payroll, bank, tax, NRIC, or credentials.</w:t>
      </w:r>
    </w:p>
    <w:p>
      <w:pPr>
        <w:pStyle w:val="ListBullet"/>
        <w:spacing w:after="60"/>
      </w:pPr>
      <w:r>
        <w:t>Feature names and availability can vary by QuickBooks Online subscription, region, and current interface. Use the in-product search when navigation differs.</w:t>
      </w:r>
    </w:p>
    <w:p>
      <w:pPr>
        <w:pStyle w:val="ListBullet"/>
        <w:spacing w:after="60"/>
      </w:pPr>
      <w:r>
        <w:t>Preserve the source, decision, posting/configuration, report, reconciliation, exception, and approval trail.</w:t>
      </w:r>
    </w:p>
    <w:p>
      <w:pPr>
        <w:pStyle w:val="ListBullet"/>
        <w:spacing w:after="60"/>
      </w:pPr>
      <w:r>
        <w:t>Tax and financial-reporting judgement must be escalated to an appropriately qualified reviewer.</w:t>
      </w:r>
    </w:p>
    <w:p>
      <w:pPr>
        <w:pStyle w:val="Heading1"/>
      </w:pPr>
      <w:r>
        <w:t>How to Use the Activity Workbooks</w:t>
      </w:r>
    </w:p>
    <w:p>
      <w:pPr>
        <w:pStyle w:val="ListBullet"/>
        <w:spacing w:after="60"/>
      </w:pPr>
      <w:r>
        <w:t>Start on Read Me; do not overwrite raw CSV data.</w:t>
      </w:r>
    </w:p>
    <w:p>
      <w:pPr>
        <w:pStyle w:val="ListBullet"/>
        <w:spacing w:after="60"/>
      </w:pPr>
      <w:r>
        <w:t>Use Source Register to confirm inputs and Evidence Log to index QuickBooks reports, exports, or screenshots.</w:t>
      </w:r>
    </w:p>
    <w:p>
      <w:pPr>
        <w:pStyle w:val="ListBullet"/>
        <w:spacing w:after="60"/>
      </w:pPr>
      <w:r>
        <w:t>Use Control Calculations and the activity-specific CSV data to prove ties; formulas must remain formulas.</w:t>
      </w:r>
    </w:p>
    <w:p>
      <w:pPr>
        <w:pStyle w:val="ListBullet"/>
        <w:spacing w:after="60"/>
      </w:pPr>
      <w:r>
        <w:t>Record every unresolved item in Exceptions and complete Acceptance Tests only after evidence is attached.</w:t>
      </w:r>
    </w:p>
    <w:p>
      <w:pPr>
        <w:pStyle w:val="Heading1"/>
      </w:pPr>
      <w:r>
        <w:t>Topic 1 — Advanced Transactional Accounting</w:t>
      </w:r>
    </w:p>
    <w:p>
      <w:r>
        <w:t>Control-ready masters · complex AR/AP · inventory · projects · bank feeds · month-end close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Control before speed</w:t>
            </w:r>
          </w:p>
        </w:tc>
        <w:tc>
          <w:tcPr>
            <w:tcW w:type="dxa" w:w="4997"/>
          </w:tcPr>
          <w:p>
            <w:r>
              <w:t>Automation scales both good coding and bad coding; design approval, evidence, and exception paths first.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Subledger discipline</w:t>
            </w:r>
          </w:p>
        </w:tc>
        <w:tc>
          <w:tcPr>
            <w:tcW w:type="dxa" w:w="4997"/>
          </w:tcPr>
          <w:p>
            <w:r>
              <w:t>Customer, supplier, inventory, project, bank, and tax subledgers must reconcile to the general ledger.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Event-to-entry reasoning</w:t>
            </w:r>
          </w:p>
        </w:tc>
        <w:tc>
          <w:tcPr>
            <w:tcW w:type="dxa" w:w="4997"/>
          </w:tcPr>
          <w:p>
            <w:r>
              <w:t>Identify the event, recognition point, accounts, debit/credit, tax treatment, and evidence before posting.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Period integrity</w:t>
            </w:r>
          </w:p>
        </w:tc>
        <w:tc>
          <w:tcPr>
            <w:tcW w:type="dxa" w:w="4997"/>
          </w:tcPr>
          <w:p>
            <w:r>
              <w:t>Cut-off, accruals, prepayments, depreciation, FX, and reconciliations protect the reporting period.</w:t>
            </w:r>
          </w:p>
        </w:tc>
      </w:tr>
    </w:tbl>
    <w:p>
      <w:pPr>
        <w:pStyle w:val="Heading2"/>
      </w:pPr>
      <w:r>
        <w:t>From basic bookkeeping to advanced control</w:t>
      </w:r>
    </w:p>
    <w:p>
      <w:r>
        <w:rPr>
          <w:b/>
          <w:color w:val="008E8E"/>
        </w:rPr>
        <w:t>Prerequisite Bridge</w:t>
      </w:r>
    </w:p>
    <w:p>
      <w:pPr>
        <w:pStyle w:val="ListBullet"/>
        <w:spacing w:after="60"/>
      </w:pPr>
      <w:r>
        <w:t>Basic course boundary: navigation, simple invoices, bills, receipts, and standard reports are assumed.</w:t>
      </w:r>
    </w:p>
    <w:p>
      <w:pPr>
        <w:pStyle w:val="ListBullet"/>
        <w:spacing w:after="60"/>
      </w:pPr>
      <w:r>
        <w:t>Advanced work adds estimates and judgements, linked documents, subledger controls, period-end entries, and evidence.</w:t>
      </w:r>
    </w:p>
    <w:p>
      <w:pPr>
        <w:pStyle w:val="ListBullet"/>
        <w:spacing w:after="60"/>
      </w:pPr>
      <w:r>
        <w:t>A correct screen entry is not enough: it must post to the right period, account, tax code, project, and counterparty.</w:t>
      </w:r>
    </w:p>
    <w:p>
      <w:pPr>
        <w:pStyle w:val="ListBullet"/>
        <w:spacing w:after="60"/>
      </w:pPr>
      <w:r>
        <w:t>Every workflow ends with a reconciliation or report-based acceptance test.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Control-ready company file</w:t>
      </w:r>
    </w:p>
    <w:p>
      <w:r>
        <w:rPr>
          <w:b/>
          <w:color w:val="008E8E"/>
        </w:rPr>
        <w:t>Master Data Architecture</w:t>
      </w:r>
    </w:p>
    <w:p>
      <w:pPr>
        <w:pStyle w:val="ListBullet"/>
        <w:spacing w:after="60"/>
      </w:pPr>
      <w:r>
        <w:t>Design a numbered chart of accounts with control accounts, clearing accounts, and reporting-friendly subaccounts.</w:t>
      </w:r>
    </w:p>
    <w:p>
      <w:pPr>
        <w:pStyle w:val="ListBullet"/>
        <w:spacing w:after="60"/>
      </w:pPr>
      <w:r>
        <w:t>Separate trade receivables/payables, GST input/output, inventory asset/COGS, fixed assets/accumulated depreciation, and suspense.</w:t>
      </w:r>
    </w:p>
    <w:p>
      <w:pPr>
        <w:pStyle w:val="ListBullet"/>
        <w:spacing w:after="60"/>
      </w:pPr>
      <w:r>
        <w:t>Govern customer, supplier, product/service, payment term, project, class/location, and custom-field masters.</w:t>
      </w:r>
    </w:p>
    <w:p>
      <w:pPr>
        <w:pStyle w:val="ListBullet"/>
        <w:spacing w:after="60"/>
      </w:pPr>
      <w:r>
        <w:t>Prevent duplicates through naming conventions, ownership, change approval, and periodic inactive-master review.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Event-to-entry decision model</w:t>
      </w:r>
    </w:p>
    <w:p>
      <w:r>
        <w:rPr>
          <w:b/>
          <w:color w:val="008E8E"/>
        </w:rPr>
        <w:t>Double-Entry</w:t>
      </w:r>
    </w:p>
    <w:p>
      <w:pPr>
        <w:pStyle w:val="ListBullet"/>
        <w:spacing w:after="60"/>
      </w:pPr>
      <w:r>
        <w:t>Business event: what happened, with whom, for how much, and when did control/performance occur?</w:t>
      </w:r>
    </w:p>
    <w:p>
      <w:pPr>
        <w:pStyle w:val="ListBullet"/>
        <w:spacing w:after="60"/>
      </w:pPr>
      <w:r>
        <w:t>Recognition: does the event create an asset, liability, income, expense, equity movement, or disclosure only?</w:t>
      </w:r>
    </w:p>
    <w:p>
      <w:pPr>
        <w:pStyle w:val="ListBullet"/>
        <w:spacing w:after="60"/>
      </w:pPr>
      <w:r>
        <w:t>Posting: select source document, accounts, debit/credit, GST code, project/segment, date, and supporting evidence.</w:t>
      </w:r>
    </w:p>
    <w:p>
      <w:pPr>
        <w:pStyle w:val="ListBullet"/>
        <w:spacing w:after="60"/>
      </w:pPr>
      <w:r>
        <w:t>Verification: inspect the audit trail, subledger, trial balance, and financial-statement effect.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Advanced order-to-cash</w:t>
      </w:r>
    </w:p>
    <w:p>
      <w:r>
        <w:rPr>
          <w:b/>
          <w:color w:val="008E8E"/>
        </w:rPr>
        <w:t>Accounts Receivable</w:t>
      </w:r>
    </w:p>
    <w:p>
      <w:pPr>
        <w:pStyle w:val="ListBullet"/>
        <w:spacing w:after="60"/>
      </w:pPr>
      <w:r>
        <w:t>Connect estimate, deposit/advance, invoice or progress invoice, receipt, credit memo, refund, and write-off.</w:t>
      </w:r>
    </w:p>
    <w:p>
      <w:pPr>
        <w:pStyle w:val="ListBullet"/>
        <w:spacing w:after="60"/>
      </w:pPr>
      <w:r>
        <w:t>Keep customer advances as liabilities until the performance obligation is satisfied; do not force early revenue.</w:t>
      </w:r>
    </w:p>
    <w:p>
      <w:pPr>
        <w:pStyle w:val="ListBullet"/>
        <w:spacing w:after="60"/>
      </w:pPr>
      <w:r>
        <w:t>Apply receipts to the correct open invoices and investigate unapplied cash and negative customer balances.</w:t>
      </w:r>
    </w:p>
    <w:p>
      <w:pPr>
        <w:pStyle w:val="ListBullet"/>
        <w:spacing w:after="60"/>
      </w:pPr>
      <w:r>
        <w:t>Use ageing, overdue reminders, statements, credit limits, and collection notes as one controlled cycle.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Returns, credits, refunds, and bad debts</w:t>
      </w:r>
    </w:p>
    <w:p>
      <w:r>
        <w:rPr>
          <w:b/>
          <w:color w:val="008E8E"/>
        </w:rPr>
        <w:t>Exception Handling</w:t>
      </w:r>
    </w:p>
    <w:p>
      <w:pPr>
        <w:pStyle w:val="ListBullet"/>
        <w:spacing w:after="60"/>
      </w:pPr>
      <w:r>
        <w:t>Credit memo reduces the customer's balance; refund receipt records cash returned—choose based on the commercial event.</w:t>
      </w:r>
    </w:p>
    <w:p>
      <w:pPr>
        <w:pStyle w:val="ListBullet"/>
        <w:spacing w:after="60"/>
      </w:pPr>
      <w:r>
        <w:t>Link the reversal to the original product/service and GST treatment to preserve revenue and tax reporting.</w:t>
      </w:r>
    </w:p>
    <w:p>
      <w:pPr>
        <w:pStyle w:val="ListBullet"/>
        <w:spacing w:after="60"/>
      </w:pPr>
      <w:r>
        <w:t>A write-off requires evidence of recoverability review and the approved bad-debt account/tax treatment.</w:t>
      </w:r>
    </w:p>
    <w:p>
      <w:pPr>
        <w:pStyle w:val="ListBullet"/>
        <w:spacing w:after="60"/>
      </w:pPr>
      <w:r>
        <w:t>Monitor unusual credits, backdated changes, duplicate refunds, and manual journals to receivables.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Advanced procure-to-pay</w:t>
      </w:r>
    </w:p>
    <w:p>
      <w:r>
        <w:rPr>
          <w:b/>
          <w:color w:val="008E8E"/>
        </w:rPr>
        <w:t>Accounts Payable</w:t>
      </w:r>
    </w:p>
    <w:p>
      <w:pPr>
        <w:pStyle w:val="ListBullet"/>
        <w:spacing w:after="60"/>
      </w:pPr>
      <w:r>
        <w:t>Connect purchase request/approval, purchase order, receipt, supplier bill, bill credit, payment, and supplier statement.</w:t>
      </w:r>
    </w:p>
    <w:p>
      <w:pPr>
        <w:pStyle w:val="ListBullet"/>
        <w:spacing w:after="60"/>
      </w:pPr>
      <w:r>
        <w:t>A purchase order is a commitment, not yet an expense or liability; recognition follows receipt and the applicable policy.</w:t>
      </w:r>
    </w:p>
    <w:p>
      <w:pPr>
        <w:pStyle w:val="ListBullet"/>
        <w:spacing w:after="60"/>
      </w:pPr>
      <w:r>
        <w:t>Use three-way thinking: order, receipt, and invoice should agree on item, quantity, price, tax, and project.</w:t>
      </w:r>
    </w:p>
    <w:p>
      <w:pPr>
        <w:pStyle w:val="ListBullet"/>
        <w:spacing w:after="60"/>
      </w:pPr>
      <w:r>
        <w:t>Separate vendor creation, invoice approval, and payment release; investigate duplicate invoice numbers and bank changes.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Recurring transactions with governance</w:t>
      </w:r>
    </w:p>
    <w:p>
      <w:r>
        <w:rPr>
          <w:b/>
          <w:color w:val="008E8E"/>
        </w:rPr>
        <w:t>Automation</w:t>
      </w:r>
    </w:p>
    <w:p>
      <w:pPr>
        <w:pStyle w:val="ListBullet"/>
        <w:spacing w:after="60"/>
      </w:pPr>
      <w:r>
        <w:t>Scheduled templates post automatically; reminders require review; unscheduled templates standardise repeatable entries.</w:t>
      </w:r>
    </w:p>
    <w:p>
      <w:pPr>
        <w:pStyle w:val="ListBullet"/>
        <w:spacing w:after="60"/>
      </w:pPr>
      <w:r>
        <w:t>Use recurring entries for predictable amounts only, or pair variable templates with an evidence-based review.</w:t>
      </w:r>
    </w:p>
    <w:p>
      <w:pPr>
        <w:pStyle w:val="ListBullet"/>
        <w:spacing w:after="60"/>
      </w:pPr>
      <w:r>
        <w:t>Assign an owner, end date, review frequency, tax treatment, and exception rule to every template.</w:t>
      </w:r>
    </w:p>
    <w:p>
      <w:pPr>
        <w:pStyle w:val="ListBullet"/>
        <w:spacing w:after="60"/>
      </w:pPr>
      <w:r>
        <w:t>Audit the recurring-template list before close and after contract, rate, or GST changes.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Inventory and cost of sales</w:t>
      </w:r>
    </w:p>
    <w:p>
      <w:r>
        <w:rPr>
          <w:b/>
          <w:color w:val="008E8E"/>
        </w:rPr>
        <w:t>Quantity And Value</w:t>
      </w:r>
    </w:p>
    <w:p>
      <w:pPr>
        <w:pStyle w:val="ListBullet"/>
        <w:spacing w:after="60"/>
      </w:pPr>
      <w:r>
        <w:t>Purchases increase inventory asset and quantity; sales reduce inventory and recognise cost of goods sold.</w:t>
      </w:r>
    </w:p>
    <w:p>
      <w:pPr>
        <w:pStyle w:val="ListBullet"/>
        <w:spacing w:after="60"/>
      </w:pPr>
      <w:r>
        <w:t>Reconcile quantity-on-hand, inventory valuation, general-ledger balance, and physical count evidence.</w:t>
      </w:r>
    </w:p>
    <w:p>
      <w:pPr>
        <w:pStyle w:val="ListBullet"/>
        <w:spacing w:after="60"/>
      </w:pPr>
      <w:r>
        <w:t>Investigate negative inventory, backdated purchases/sales, inactive items, unit-of-measure errors, and unusual adjustments.</w:t>
      </w:r>
    </w:p>
    <w:p>
      <w:pPr>
        <w:pStyle w:val="ListBullet"/>
        <w:spacing w:after="60"/>
      </w:pPr>
      <w:r>
        <w:t>Adjustments need reason codes, approval, evidence, and an understood profit impact—not a plug to make reports agree.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Projects, time, and billable costs</w:t>
      </w:r>
    </w:p>
    <w:p>
      <w:r>
        <w:rPr>
          <w:b/>
          <w:color w:val="008E8E"/>
        </w:rPr>
        <w:t>Job Profitability</w:t>
      </w:r>
    </w:p>
    <w:p>
      <w:pPr>
        <w:pStyle w:val="ListBullet"/>
        <w:spacing w:after="60"/>
      </w:pPr>
      <w:r>
        <w:t>Assign revenue, supplier costs, expenses, time, and billable items to the correct customer project.</w:t>
      </w:r>
    </w:p>
    <w:p>
      <w:pPr>
        <w:pStyle w:val="ListBullet"/>
        <w:spacing w:after="60"/>
      </w:pPr>
      <w:r>
        <w:t>Separate billable status from accounting classification: an expense can be valid but assigned to the wrong project.</w:t>
      </w:r>
    </w:p>
    <w:p>
      <w:pPr>
        <w:pStyle w:val="ListBullet"/>
        <w:spacing w:after="60"/>
      </w:pPr>
      <w:r>
        <w:t>Compare estimate, invoiced, earned, cost incurred, unbilled time/expense, and margin to expose leakage.</w:t>
      </w:r>
    </w:p>
    <w:p>
      <w:pPr>
        <w:pStyle w:val="ListBullet"/>
        <w:spacing w:after="60"/>
      </w:pPr>
      <w:r>
        <w:t>Close a project only after final billing, cost capture, write-off decisions, and profitability review.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Bank feeds and rule design</w:t>
      </w:r>
    </w:p>
    <w:p>
      <w:r>
        <w:rPr>
          <w:b/>
          <w:color w:val="008E8E"/>
        </w:rPr>
        <w:t>Automation With Review</w:t>
      </w:r>
    </w:p>
    <w:p>
      <w:pPr>
        <w:pStyle w:val="ListBullet"/>
        <w:spacing w:after="60"/>
      </w:pPr>
      <w:r>
        <w:t>A bank-feed line is external evidence, not automatically a new accounting transaction; match before add.</w:t>
      </w:r>
    </w:p>
    <w:p>
      <w:pPr>
        <w:pStyle w:val="ListBullet"/>
        <w:spacing w:after="60"/>
      </w:pPr>
      <w:r>
        <w:t>Use bank text, description, amount, account, payee, transaction type, category, tax, and project conditions deliberately.</w:t>
      </w:r>
    </w:p>
    <w:p>
      <w:pPr>
        <w:pStyle w:val="ListBullet"/>
        <w:spacing w:after="60"/>
      </w:pPr>
      <w:r>
        <w:t>Rule priority matters; broad rules can override precise rules and silently misclassify high volumes.</w:t>
      </w:r>
    </w:p>
    <w:p>
      <w:pPr>
        <w:pStyle w:val="ListBullet"/>
        <w:spacing w:after="60"/>
      </w:pPr>
      <w:r>
        <w:t>Enable auto-add only for stable, low-risk patterns with a periodic exception and sampling review.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Reconciliation as a control</w:t>
      </w:r>
    </w:p>
    <w:p>
      <w:r>
        <w:rPr>
          <w:b/>
          <w:color w:val="008E8E"/>
        </w:rPr>
        <w:t>Bank And Credit Card</w:t>
      </w:r>
    </w:p>
    <w:p>
      <w:pPr>
        <w:pStyle w:val="ListBullet"/>
        <w:spacing w:after="60"/>
      </w:pPr>
      <w:r>
        <w:t>Reconciliation proves the ledger agrees to an independent statement at a point in time.</w:t>
      </w:r>
    </w:p>
    <w:p>
      <w:pPr>
        <w:pStyle w:val="ListBullet"/>
        <w:spacing w:after="60"/>
      </w:pPr>
      <w:r>
        <w:t>Opening balance, statement ending balance, cleared items, outstanding items, and difference form the control equation.</w:t>
      </w:r>
    </w:p>
    <w:p>
      <w:pPr>
        <w:pStyle w:val="ListBullet"/>
        <w:spacing w:after="60"/>
      </w:pPr>
      <w:r>
        <w:t>Investigate missing, duplicate, altered, stale, and future-dated items; never force a zero with an unexplained adjustment.</w:t>
      </w:r>
    </w:p>
    <w:p>
      <w:pPr>
        <w:pStyle w:val="ListBullet"/>
        <w:spacing w:after="60"/>
      </w:pPr>
      <w:r>
        <w:t>Preserve the reconciliation report and review changes to previously reconciled transactions in the audit log.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Month-end adjusting entries</w:t>
      </w:r>
    </w:p>
    <w:p>
      <w:r>
        <w:rPr>
          <w:b/>
          <w:color w:val="008E8E"/>
        </w:rPr>
        <w:t>Cut-Off And Estimates</w:t>
      </w:r>
    </w:p>
    <w:p>
      <w:pPr>
        <w:pStyle w:val="ListBullet"/>
        <w:spacing w:after="60"/>
      </w:pPr>
      <w:r>
        <w:t>Accruals recognise incurred costs/revenue before invoice or cash; reverse when the source transaction arrives where appropriate.</w:t>
      </w:r>
    </w:p>
    <w:p>
      <w:pPr>
        <w:pStyle w:val="ListBullet"/>
        <w:spacing w:after="60"/>
      </w:pPr>
      <w:r>
        <w:t>Prepayments defer expense and release it systematically over the benefit period.</w:t>
      </w:r>
    </w:p>
    <w:p>
      <w:pPr>
        <w:pStyle w:val="ListBullet"/>
        <w:spacing w:after="60"/>
      </w:pPr>
      <w:r>
        <w:t>Depreciation allocates depreciable amount over useful life; accumulated depreciation preserves gross asset cost.</w:t>
      </w:r>
    </w:p>
    <w:p>
      <w:pPr>
        <w:pStyle w:val="ListBullet"/>
        <w:spacing w:after="60"/>
      </w:pPr>
      <w:r>
        <w:t>Foreign-currency monetary items may require period-end remeasurement and documented exchange-rate evidence.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Close, roles, and audit trail</w:t>
      </w:r>
    </w:p>
    <w:p>
      <w:r>
        <w:rPr>
          <w:b/>
          <w:color w:val="008E8E"/>
        </w:rPr>
        <w:t>Books Integrity</w:t>
      </w:r>
    </w:p>
    <w:p>
      <w:pPr>
        <w:pStyle w:val="ListBullet"/>
        <w:spacing w:after="60"/>
      </w:pPr>
      <w:r>
        <w:t>Sequence the close: transaction cut-off, subledgers, reconciliations, adjustments, analytical review, approval, then lock.</w:t>
      </w:r>
    </w:p>
    <w:p>
      <w:pPr>
        <w:pStyle w:val="ListBullet"/>
        <w:spacing w:after="60"/>
      </w:pPr>
      <w:r>
        <w:t>Apply least privilege and segregation of duties across master data, posting, reconciliation, reporting, and payment.</w:t>
      </w:r>
    </w:p>
    <w:p>
      <w:pPr>
        <w:pStyle w:val="ListBullet"/>
        <w:spacing w:after="60"/>
      </w:pPr>
      <w:r>
        <w:t>The audit log supports who/what/when investigation; it does not explain business purpose without supporting documents.</w:t>
      </w:r>
    </w:p>
    <w:p>
      <w:pPr>
        <w:pStyle w:val="ListBullet"/>
        <w:spacing w:after="60"/>
      </w:pPr>
      <w:r>
        <w:t>A close-date password and exception approval reduce unauthorised backdating after management sign-off.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1"/>
      </w:pPr>
      <w:r>
        <w:t>Topic 2 — Financial Reporting and Management Insight</w:t>
      </w:r>
    </w:p>
    <w:p>
      <w:r>
        <w:t>Statement integrity · report design · ageing · profitability · GST · variance and decision narratives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Reports are outputs</w:t>
            </w:r>
          </w:p>
        </w:tc>
        <w:tc>
          <w:tcPr>
            <w:tcW w:type="dxa" w:w="4997"/>
          </w:tcPr>
          <w:p>
            <w:r>
              <w:t>A polished report cannot repair incomplete, duplicated, misdated, or misclassified transactions.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Triangulate</w:t>
            </w:r>
          </w:p>
        </w:tc>
        <w:tc>
          <w:tcPr>
            <w:tcW w:type="dxa" w:w="4997"/>
          </w:tcPr>
          <w:p>
            <w:r>
              <w:t>Tie the Profit and Loss, Balance Sheet, Cash Flow, subledgers, and reconciliation evidence together.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Segment with purpose</w:t>
            </w:r>
          </w:p>
        </w:tc>
        <w:tc>
          <w:tcPr>
            <w:tcW w:type="dxa" w:w="4997"/>
          </w:tcPr>
          <w:p>
            <w:r>
              <w:t>Projects, customers, products, classes, locations, and custom fields answer different management questions.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Explain the movement</w:t>
            </w:r>
          </w:p>
        </w:tc>
        <w:tc>
          <w:tcPr>
            <w:tcW w:type="dxa" w:w="4997"/>
          </w:tcPr>
          <w:p>
            <w:r>
              <w:t>A management pack pairs numbers with drivers, risks, actions, owners, and due dates.</w:t>
            </w:r>
          </w:p>
        </w:tc>
      </w:tr>
    </w:tbl>
    <w:p>
      <w:pPr>
        <w:pStyle w:val="Heading2"/>
      </w:pPr>
      <w:r>
        <w:t>Financial statement architecture</w:t>
      </w:r>
    </w:p>
    <w:p>
      <w:r>
        <w:rPr>
          <w:b/>
          <w:color w:val="008E8E"/>
        </w:rPr>
        <w:t>Reporting Framework</w:t>
      </w:r>
    </w:p>
    <w:p>
      <w:pPr>
        <w:pStyle w:val="ListBullet"/>
        <w:spacing w:after="60"/>
      </w:pPr>
      <w:r>
        <w:t>Profit and Loss explains performance over a period; Balance Sheet shows financial position at a date.</w:t>
      </w:r>
    </w:p>
    <w:p>
      <w:pPr>
        <w:pStyle w:val="ListBullet"/>
        <w:spacing w:after="60"/>
      </w:pPr>
      <w:r>
        <w:t>Cash Flow explains movements in cash; profit can rise while cash falls because timing and non-cash items differ.</w:t>
      </w:r>
    </w:p>
    <w:p>
      <w:pPr>
        <w:pStyle w:val="ListBullet"/>
        <w:spacing w:after="60"/>
      </w:pPr>
      <w:r>
        <w:t>Retained earnings links current and prior-period results to equity, subject to distributions and adjustments.</w:t>
      </w:r>
    </w:p>
    <w:p>
      <w:pPr>
        <w:pStyle w:val="ListBullet"/>
        <w:spacing w:after="60"/>
      </w:pPr>
      <w:r>
        <w:t>Report basis, period, comparison, currency, grouping, and accounting method must be explicit.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Subledger-to-ledger reporting bridge</w:t>
      </w:r>
    </w:p>
    <w:p>
      <w:r>
        <w:rPr>
          <w:b/>
          <w:color w:val="008E8E"/>
        </w:rPr>
        <w:t>Report Integrity</w:t>
      </w:r>
    </w:p>
    <w:p>
      <w:pPr>
        <w:pStyle w:val="ListBullet"/>
        <w:spacing w:after="60"/>
      </w:pPr>
      <w:r>
        <w:t>AR ageing should tie to accounts receivable; AP ageing should tie to accounts payable.</w:t>
      </w:r>
    </w:p>
    <w:p>
      <w:pPr>
        <w:pStyle w:val="ListBullet"/>
        <w:spacing w:after="60"/>
      </w:pPr>
      <w:r>
        <w:t>Inventory valuation should tie to inventory asset; bank reconciliations should support cash balances.</w:t>
      </w:r>
    </w:p>
    <w:p>
      <w:pPr>
        <w:pStyle w:val="ListBullet"/>
        <w:spacing w:after="60"/>
      </w:pPr>
      <w:r>
        <w:t>GST detail and control accounts should support the return working paper.</w:t>
      </w:r>
    </w:p>
    <w:p>
      <w:pPr>
        <w:pStyle w:val="ListBullet"/>
        <w:spacing w:after="60"/>
      </w:pPr>
      <w:r>
        <w:t>A trial balance is mathematically balanced even when classification, timing, or completeness is wrong.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Report dimensions and traceability</w:t>
      </w:r>
    </w:p>
    <w:p>
      <w:r>
        <w:rPr>
          <w:b/>
          <w:color w:val="008E8E"/>
        </w:rPr>
        <w:t>Segmentation</w:t>
      </w:r>
    </w:p>
    <w:p>
      <w:pPr>
        <w:pStyle w:val="ListBullet"/>
        <w:spacing w:after="60"/>
      </w:pPr>
      <w:r>
        <w:t>Use customers/projects for counterparty and job profitability; products/services for revenue and margin mix.</w:t>
      </w:r>
    </w:p>
    <w:p>
      <w:pPr>
        <w:pStyle w:val="ListBullet"/>
        <w:spacing w:after="60"/>
      </w:pPr>
      <w:r>
        <w:t>Use classes or locations for responsibility/operating segments where the subscription supports them.</w:t>
      </w:r>
    </w:p>
    <w:p>
      <w:pPr>
        <w:pStyle w:val="ListBullet"/>
        <w:spacing w:after="60"/>
      </w:pPr>
      <w:r>
        <w:t>Use custom fields for controlled transaction attributes; avoid free-text labels that cannot be governed.</w:t>
      </w:r>
    </w:p>
    <w:p>
      <w:pPr>
        <w:pStyle w:val="ListBullet"/>
        <w:spacing w:after="60"/>
      </w:pPr>
      <w:r>
        <w:t>Document feature availability: reports and tracking options vary by QuickBooks Online subscription and region.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Custom report design</w:t>
      </w:r>
    </w:p>
    <w:p>
      <w:r>
        <w:rPr>
          <w:b/>
          <w:color w:val="008E8E"/>
        </w:rPr>
        <w:t>Question-Led Reporting</w:t>
      </w:r>
    </w:p>
    <w:p>
      <w:pPr>
        <w:pStyle w:val="ListBullet"/>
        <w:spacing w:after="60"/>
      </w:pPr>
      <w:r>
        <w:t>Start with the decision question, user, period, grain, measure, comparison, filter, and required evidence.</w:t>
      </w:r>
    </w:p>
    <w:p>
      <w:pPr>
        <w:pStyle w:val="ListBullet"/>
        <w:spacing w:after="60"/>
      </w:pPr>
      <w:r>
        <w:t>Choose a base report that contains the necessary transactions and dimensions before customising.</w:t>
      </w:r>
    </w:p>
    <w:p>
      <w:pPr>
        <w:pStyle w:val="ListBullet"/>
        <w:spacing w:after="60"/>
      </w:pPr>
      <w:r>
        <w:t>Save consistent filters and naming; schedule only after ownership, confidentiality, and recipient accuracy are confirmed.</w:t>
      </w:r>
    </w:p>
    <w:p>
      <w:pPr>
        <w:pStyle w:val="ListBullet"/>
        <w:spacing w:after="60"/>
      </w:pPr>
      <w:r>
        <w:t>Exported Excel/PDF copies are snapshots—label period, basis, run date, and source company.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Receivables and payables analysis</w:t>
      </w:r>
    </w:p>
    <w:p>
      <w:r>
        <w:rPr>
          <w:b/>
          <w:color w:val="008E8E"/>
        </w:rPr>
        <w:t>Working Capital</w:t>
      </w:r>
    </w:p>
    <w:p>
      <w:pPr>
        <w:pStyle w:val="ListBullet"/>
        <w:spacing w:after="60"/>
      </w:pPr>
      <w:r>
        <w:t>Ageing is a risk view, not just a collection list; separate current, overdue, disputed, credit, and unapplied balances.</w:t>
      </w:r>
    </w:p>
    <w:p>
      <w:pPr>
        <w:pStyle w:val="ListBullet"/>
        <w:spacing w:after="60"/>
      </w:pPr>
      <w:r>
        <w:t>Track days sales outstanding, overdue concentration, promise-to-pay status, and collection outcomes.</w:t>
      </w:r>
    </w:p>
    <w:p>
      <w:pPr>
        <w:pStyle w:val="ListBullet"/>
        <w:spacing w:after="60"/>
      </w:pPr>
      <w:r>
        <w:t>For payables, combine ageing with due dates, cash forecast, supplier criticality, discounts, and disputed items.</w:t>
      </w:r>
    </w:p>
    <w:p>
      <w:pPr>
        <w:pStyle w:val="ListBullet"/>
        <w:spacing w:after="60"/>
      </w:pPr>
      <w:r>
        <w:t>Reconcile ageing totals before presenting working-capital conclusions.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Profitability and variance</w:t>
      </w:r>
    </w:p>
    <w:p>
      <w:r>
        <w:rPr>
          <w:b/>
          <w:color w:val="008E8E"/>
        </w:rPr>
        <w:t>Management Insight</w:t>
      </w:r>
    </w:p>
    <w:p>
      <w:pPr>
        <w:pStyle w:val="ListBullet"/>
        <w:spacing w:after="60"/>
      </w:pPr>
      <w:r>
        <w:t>Bridge revenue, volume/mix, direct cost, gross margin, overhead, and net result across periods or plans.</w:t>
      </w:r>
    </w:p>
    <w:p>
      <w:pPr>
        <w:pStyle w:val="ListBullet"/>
        <w:spacing w:after="60"/>
      </w:pPr>
      <w:r>
        <w:t>Project and product margin analysis must capture all attributable costs and avoid unassigned expenses.</w:t>
      </w:r>
    </w:p>
    <w:p>
      <w:pPr>
        <w:pStyle w:val="ListBullet"/>
        <w:spacing w:after="60"/>
      </w:pPr>
      <w:r>
        <w:t>Distinguish one-off, timing, structural, volume, price, mix, and efficiency drivers.</w:t>
      </w:r>
    </w:p>
    <w:p>
      <w:pPr>
        <w:pStyle w:val="ListBullet"/>
        <w:spacing w:after="60"/>
      </w:pPr>
      <w:r>
        <w:t>Pair every material variance with evidence, an owner, a corrective action, and a target date.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Cash flow and liquidity</w:t>
      </w:r>
    </w:p>
    <w:p>
      <w:r>
        <w:rPr>
          <w:b/>
          <w:color w:val="008E8E"/>
        </w:rPr>
        <w:t>Profit Is Not Cash</w:t>
      </w:r>
    </w:p>
    <w:p>
      <w:pPr>
        <w:pStyle w:val="ListBullet"/>
        <w:spacing w:after="60"/>
      </w:pPr>
      <w:r>
        <w:t>Operating cash is affected by profit, receivables, payables, inventory, tax, and other working-capital movements.</w:t>
      </w:r>
    </w:p>
    <w:p>
      <w:pPr>
        <w:pStyle w:val="ListBullet"/>
        <w:spacing w:after="60"/>
      </w:pPr>
      <w:r>
        <w:t>Investing activity captures long-lived asset movements; financing captures debt, capital, and distributions.</w:t>
      </w:r>
    </w:p>
    <w:p>
      <w:pPr>
        <w:pStyle w:val="ListBullet"/>
        <w:spacing w:after="60"/>
      </w:pPr>
      <w:r>
        <w:t>Use bank reconciliations and balance-sheet movements to challenge the cash-flow narrative.</w:t>
      </w:r>
    </w:p>
    <w:p>
      <w:pPr>
        <w:pStyle w:val="ListBullet"/>
        <w:spacing w:after="60"/>
      </w:pPr>
      <w:r>
        <w:t>A positive profit with ageing receivables and rising inventory can still create a liquidity squeeze.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GST control and return readiness</w:t>
      </w:r>
    </w:p>
    <w:p>
      <w:r>
        <w:rPr>
          <w:b/>
          <w:color w:val="008E8E"/>
        </w:rPr>
        <w:t>Singapore Gst</w:t>
      </w:r>
    </w:p>
    <w:p>
      <w:pPr>
        <w:pStyle w:val="ListBullet"/>
        <w:spacing w:after="60"/>
      </w:pPr>
      <w:r>
        <w:t>Singapore's prevailing GST rate is 9%; validate transaction date, place/treatment, tax code, and documentary support.</w:t>
      </w:r>
    </w:p>
    <w:p>
      <w:pPr>
        <w:pStyle w:val="ListBullet"/>
        <w:spacing w:after="60"/>
      </w:pPr>
      <w:r>
        <w:t>Separate standard-rated, zero-rated, exempt, out-of-scope, reverse-charge, and disallowed input-tax cases as applicable.</w:t>
      </w:r>
    </w:p>
    <w:p>
      <w:pPr>
        <w:pStyle w:val="ListBullet"/>
        <w:spacing w:after="60"/>
      </w:pPr>
      <w:r>
        <w:t>Tie taxable supplies/purchases and output/input tax from transaction detail to control accounts and the GST working paper.</w:t>
      </w:r>
    </w:p>
    <w:p>
      <w:pPr>
        <w:pStyle w:val="ListBullet"/>
        <w:spacing w:after="60"/>
      </w:pPr>
      <w:r>
        <w:t>Corrections may require GST F7; retain evidence and escalate tax judgement rather than forcing a QuickBooks code.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Management report pack</w:t>
      </w:r>
    </w:p>
    <w:p>
      <w:r>
        <w:rPr>
          <w:b/>
          <w:color w:val="008E8E"/>
        </w:rPr>
        <w:t>From Data To Action</w:t>
      </w:r>
    </w:p>
    <w:p>
      <w:pPr>
        <w:pStyle w:val="ListBullet"/>
        <w:spacing w:after="60"/>
      </w:pPr>
      <w:r>
        <w:t>Executive summary: what changed, why it matters, and the decision required.</w:t>
      </w:r>
    </w:p>
    <w:p>
      <w:pPr>
        <w:pStyle w:val="ListBullet"/>
        <w:spacing w:after="60"/>
      </w:pPr>
      <w:r>
        <w:t>Core statements: Profit and Loss, Balance Sheet, Cash Flow, with comparisons and consistent basis.</w:t>
      </w:r>
    </w:p>
    <w:p>
      <w:pPr>
        <w:pStyle w:val="ListBullet"/>
        <w:spacing w:after="60"/>
      </w:pPr>
      <w:r>
        <w:t>Schedules: AR/AP ageing, inventory, project profitability, GST, reconciliation, and exception log.</w:t>
      </w:r>
    </w:p>
    <w:p>
      <w:pPr>
        <w:pStyle w:val="ListBullet"/>
        <w:spacing w:after="60"/>
      </w:pPr>
      <w:r>
        <w:t>Actions: issue, evidence, impact, owner, due date, and status; preserve drill-down traceability.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Analytical review and red flags</w:t>
      </w:r>
    </w:p>
    <w:p>
      <w:r>
        <w:rPr>
          <w:b/>
          <w:color w:val="008E8E"/>
        </w:rPr>
        <w:t>Quality Before Presentation</w:t>
      </w:r>
    </w:p>
    <w:p>
      <w:pPr>
        <w:pStyle w:val="ListBullet"/>
        <w:spacing w:after="60"/>
      </w:pPr>
      <w:r>
        <w:t>Scan for unexpected signs, round-number journals, dormant accounts, suspense balances, and backdated entries.</w:t>
      </w:r>
    </w:p>
    <w:p>
      <w:pPr>
        <w:pStyle w:val="ListBullet"/>
        <w:spacing w:after="60"/>
      </w:pPr>
      <w:r>
        <w:t>Compare margin, working capital, ageing, inventory days, and tax ratios over time and against operational context.</w:t>
      </w:r>
    </w:p>
    <w:p>
      <w:pPr>
        <w:pStyle w:val="ListBullet"/>
        <w:spacing w:after="60"/>
      </w:pPr>
      <w:r>
        <w:t>Investigate rather than delete anomalies; document conclusion and evidence even when no correction is required.</w:t>
      </w:r>
    </w:p>
    <w:p>
      <w:pPr>
        <w:pStyle w:val="ListBullet"/>
        <w:spacing w:after="60"/>
      </w:pPr>
      <w:r>
        <w:t>Management commentary must separate verified facts, estimates, assumptions, and recommended actions.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1"/>
      </w:pPr>
      <w:r>
        <w:t>Topic 3 — Accounting Principles and Standards</w:t>
      </w:r>
    </w:p>
    <w:p>
      <w:r>
        <w:t>Singapore reporting framework · recognition and measurement · estimates · disclosures · system-to-standard bridge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Singapore context</w:t>
            </w:r>
          </w:p>
        </w:tc>
        <w:tc>
          <w:tcPr>
            <w:tcW w:type="dxa" w:w="4997"/>
          </w:tcPr>
          <w:p>
            <w:r>
              <w:t>Use the applicable SFRS(I), FRS, or SFRS for Small Entities framework—not a generic US-GAAP shortcut.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System is not policy</w:t>
            </w:r>
          </w:p>
        </w:tc>
        <w:tc>
          <w:tcPr>
            <w:tcW w:type="dxa" w:w="4997"/>
          </w:tcPr>
          <w:p>
            <w:r>
              <w:t>QuickBooks records approved accounting treatments; it does not choose the reporting framework or judgement.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Recognition and measurement</w:t>
            </w:r>
          </w:p>
        </w:tc>
        <w:tc>
          <w:tcPr>
            <w:tcW w:type="dxa" w:w="4997"/>
          </w:tcPr>
          <w:p>
            <w:r>
              <w:t>Timing, classification, estimates, and measurement bases shape profit, assets, liabilities, and disclosures.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Qualitative characteristics</w:t>
            </w:r>
          </w:p>
        </w:tc>
        <w:tc>
          <w:tcPr>
            <w:tcW w:type="dxa" w:w="4997"/>
          </w:tcPr>
          <w:p>
            <w:r>
              <w:t>Relevance, faithful representation, comparability, verifiability, timeliness, and understandability guide choices.</w:t>
            </w:r>
          </w:p>
        </w:tc>
      </w:tr>
    </w:tbl>
    <w:p>
      <w:pPr>
        <w:pStyle w:val="Heading2"/>
      </w:pPr>
      <w:r>
        <w:t>Applicable reporting framework</w:t>
      </w:r>
    </w:p>
    <w:p>
      <w:r>
        <w:rPr>
          <w:b/>
          <w:color w:val="008E8E"/>
        </w:rPr>
        <w:t>Singapore Standards</w:t>
      </w:r>
    </w:p>
    <w:p>
      <w:pPr>
        <w:pStyle w:val="ListBullet"/>
        <w:spacing w:after="60"/>
      </w:pPr>
      <w:r>
        <w:t>Determine whether the entity applies SFRS(I), FRS, SFRS for Small Entities, or another permitted framework.</w:t>
      </w:r>
    </w:p>
    <w:p>
      <w:pPr>
        <w:pStyle w:val="ListBullet"/>
        <w:spacing w:after="60"/>
      </w:pPr>
      <w:r>
        <w:t>Document policy choices, effective dates, transition requirements, materiality, and disclosure obligations.</w:t>
      </w:r>
    </w:p>
    <w:p>
      <w:pPr>
        <w:pStyle w:val="ListBullet"/>
        <w:spacing w:after="60"/>
      </w:pPr>
      <w:r>
        <w:t>Use current ASC/ACRA/IRAS and professional advice where judgement or regulation is consequential.</w:t>
      </w:r>
    </w:p>
    <w:p>
      <w:pPr>
        <w:pStyle w:val="ListBullet"/>
        <w:spacing w:after="60"/>
      </w:pPr>
      <w:r>
        <w:t>QuickBooks account names and reports do not establish compliance by themselves.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Accrual and matching</w:t>
      </w:r>
    </w:p>
    <w:p>
      <w:r>
        <w:rPr>
          <w:b/>
          <w:color w:val="008E8E"/>
        </w:rPr>
        <w:t>Recognition Timing</w:t>
      </w:r>
    </w:p>
    <w:p>
      <w:pPr>
        <w:pStyle w:val="ListBullet"/>
        <w:spacing w:after="60"/>
      </w:pPr>
      <w:r>
        <w:t>Recognise income and expenses when the underlying rights, obligations, and performance occur—not merely when cash moves.</w:t>
      </w:r>
    </w:p>
    <w:p>
      <w:pPr>
        <w:pStyle w:val="ListBullet"/>
        <w:spacing w:after="60"/>
      </w:pPr>
      <w:r>
        <w:t>Customer deposits may be contract liabilities; unbilled earned revenue may require receivable/contract-asset analysis.</w:t>
      </w:r>
    </w:p>
    <w:p>
      <w:pPr>
        <w:pStyle w:val="ListBullet"/>
        <w:spacing w:after="60"/>
      </w:pPr>
      <w:r>
        <w:t>Supplier invoices received late do not erase obligations existing at reporting date.</w:t>
      </w:r>
    </w:p>
    <w:p>
      <w:pPr>
        <w:pStyle w:val="ListBullet"/>
        <w:spacing w:after="60"/>
      </w:pPr>
      <w:r>
        <w:t>Use reversal and clearing logic to avoid double counting when source documents arrive after close.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Revenue recognition</w:t>
      </w:r>
    </w:p>
    <w:p>
      <w:r>
        <w:rPr>
          <w:b/>
          <w:color w:val="008E8E"/>
        </w:rPr>
        <w:t>Performance Obligations</w:t>
      </w:r>
    </w:p>
    <w:p>
      <w:pPr>
        <w:pStyle w:val="ListBullet"/>
        <w:spacing w:after="60"/>
      </w:pPr>
      <w:r>
        <w:t>Identify the contract, performance obligations, transaction price, allocation, and satisfaction pattern.</w:t>
      </w:r>
    </w:p>
    <w:p>
      <w:pPr>
        <w:pStyle w:val="ListBullet"/>
        <w:spacing w:after="60"/>
      </w:pPr>
      <w:r>
        <w:t>Invoice date, payment date, and revenue-recognition date can differ.</w:t>
      </w:r>
    </w:p>
    <w:p>
      <w:pPr>
        <w:pStyle w:val="ListBullet"/>
        <w:spacing w:after="60"/>
      </w:pPr>
      <w:r>
        <w:t>Project deposits, progress billing, credits, refunds, and variable consideration require consistent policy mapping.</w:t>
      </w:r>
    </w:p>
    <w:p>
      <w:pPr>
        <w:pStyle w:val="ListBullet"/>
        <w:spacing w:after="60"/>
      </w:pPr>
      <w:r>
        <w:t>QuickBooks forms operationalise the approved policy; they do not replace contract analysis.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Inventory measurement</w:t>
      </w:r>
    </w:p>
    <w:p>
      <w:r>
        <w:rPr>
          <w:b/>
          <w:color w:val="008E8E"/>
        </w:rPr>
        <w:t>Cost And Nrv</w:t>
      </w:r>
    </w:p>
    <w:p>
      <w:pPr>
        <w:pStyle w:val="ListBullet"/>
        <w:spacing w:after="60"/>
      </w:pPr>
      <w:r>
        <w:t>Inventory includes eligible purchase and conversion costs under the applicable policy, not every related expenditure.</w:t>
      </w:r>
    </w:p>
    <w:p>
      <w:pPr>
        <w:pStyle w:val="ListBullet"/>
        <w:spacing w:after="60"/>
      </w:pPr>
      <w:r>
        <w:t>Compare carrying amount with net realisable value and recognise write-downs where required.</w:t>
      </w:r>
    </w:p>
    <w:p>
      <w:pPr>
        <w:pStyle w:val="ListBullet"/>
        <w:spacing w:after="60"/>
      </w:pPr>
      <w:r>
        <w:t>Obsolescence, damage, slow movement, negative quantities, and post-period sales inform the estimate.</w:t>
      </w:r>
    </w:p>
    <w:p>
      <w:pPr>
        <w:pStyle w:val="ListBullet"/>
        <w:spacing w:after="60"/>
      </w:pPr>
      <w:r>
        <w:t>A quantity adjustment changes both operational records and financial results; evidence and approval are essential.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Property, plant and equipment</w:t>
      </w:r>
    </w:p>
    <w:p>
      <w:r>
        <w:rPr>
          <w:b/>
          <w:color w:val="008E8E"/>
        </w:rPr>
        <w:t>Capitalise, Depreciate, Impair</w:t>
      </w:r>
    </w:p>
    <w:p>
      <w:pPr>
        <w:pStyle w:val="ListBullet"/>
        <w:spacing w:after="60"/>
      </w:pPr>
      <w:r>
        <w:t>Capitalise when recognition criteria are met; expense repairs and routine maintenance under the policy.</w:t>
      </w:r>
    </w:p>
    <w:p>
      <w:pPr>
        <w:pStyle w:val="ListBullet"/>
        <w:spacing w:after="60"/>
      </w:pPr>
      <w:r>
        <w:t>Component, useful life, residual value, method, and start date drive depreciation.</w:t>
      </w:r>
    </w:p>
    <w:p>
      <w:pPr>
        <w:pStyle w:val="ListBullet"/>
        <w:spacing w:after="60"/>
      </w:pPr>
      <w:r>
        <w:t>Review indicators of impairment and changes in estimates; apply prospectively where required.</w:t>
      </w:r>
    </w:p>
    <w:p>
      <w:pPr>
        <w:pStyle w:val="ListBullet"/>
        <w:spacing w:after="60"/>
      </w:pPr>
      <w:r>
        <w:t>Maintain a fixed-asset register outside or alongside QuickBooks and reconcile it to cost and accumulated depreciation accounts.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Foreign currency</w:t>
      </w:r>
    </w:p>
    <w:p>
      <w:r>
        <w:rPr>
          <w:b/>
          <w:color w:val="008E8E"/>
        </w:rPr>
        <w:t>Transaction And Closing-Rate Effects</w:t>
      </w:r>
    </w:p>
    <w:p>
      <w:pPr>
        <w:pStyle w:val="ListBullet"/>
        <w:spacing w:after="60"/>
      </w:pPr>
      <w:r>
        <w:t>Record foreign-currency transactions using the applicable transaction-date rate and preserve source evidence.</w:t>
      </w:r>
    </w:p>
    <w:p>
      <w:pPr>
        <w:pStyle w:val="ListBullet"/>
        <w:spacing w:after="60"/>
      </w:pPr>
      <w:r>
        <w:t>Remeasure monetary balances at reporting date where required; recognise exchange differences appropriately.</w:t>
      </w:r>
    </w:p>
    <w:p>
      <w:pPr>
        <w:pStyle w:val="ListBullet"/>
        <w:spacing w:after="60"/>
      </w:pPr>
      <w:r>
        <w:t>Distinguish transaction currency, functional currency, and presentation currency.</w:t>
      </w:r>
    </w:p>
    <w:p>
      <w:pPr>
        <w:pStyle w:val="ListBullet"/>
        <w:spacing w:after="60"/>
      </w:pPr>
      <w:r>
        <w:t>Subscription features and exchange-rate automation do not remove the need for policy, reasonableness, and close review.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Estimates, errors, and policy changes</w:t>
      </w:r>
    </w:p>
    <w:p>
      <w:r>
        <w:rPr>
          <w:b/>
          <w:color w:val="008E8E"/>
        </w:rPr>
        <w:t>Change Classification</w:t>
      </w:r>
    </w:p>
    <w:p>
      <w:pPr>
        <w:pStyle w:val="ListBullet"/>
        <w:spacing w:after="60"/>
      </w:pPr>
      <w:r>
        <w:t>A change in estimate reflects new information; a prior-period error corrects information that was available or could reasonably have been obtained.</w:t>
      </w:r>
    </w:p>
    <w:p>
      <w:pPr>
        <w:pStyle w:val="ListBullet"/>
        <w:spacing w:after="60"/>
      </w:pPr>
      <w:r>
        <w:t>A policy change follows the applicable standard and transition rules; do not label every correction an estimate.</w:t>
      </w:r>
    </w:p>
    <w:p>
      <w:pPr>
        <w:pStyle w:val="ListBullet"/>
        <w:spacing w:after="60"/>
      </w:pPr>
      <w:r>
        <w:t>Assess materiality individually and in aggregate, including qualitative effects on users and covenants.</w:t>
      </w:r>
    </w:p>
    <w:p>
      <w:pPr>
        <w:pStyle w:val="ListBullet"/>
        <w:spacing w:after="60"/>
      </w:pPr>
      <w:r>
        <w:t>Preserve an adjustment paper: issue, requirement, calculation, entries, statements affected, disclosure, approval, and evidence.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Qualitative characteristics</w:t>
      </w:r>
    </w:p>
    <w:p>
      <w:r>
        <w:rPr>
          <w:b/>
          <w:color w:val="008E8E"/>
        </w:rPr>
        <w:t>A4 Decision Lens</w:t>
      </w:r>
    </w:p>
    <w:p>
      <w:pPr>
        <w:pStyle w:val="ListBullet"/>
        <w:spacing w:after="60"/>
      </w:pPr>
      <w:r>
        <w:t>Relevance: information can influence decisions; materiality is entity-specific.</w:t>
      </w:r>
    </w:p>
    <w:p>
      <w:pPr>
        <w:pStyle w:val="ListBullet"/>
        <w:spacing w:after="60"/>
      </w:pPr>
      <w:r>
        <w:t>Faithful representation: complete, neutral, and free from material error—not merely precise-looking.</w:t>
      </w:r>
    </w:p>
    <w:p>
      <w:pPr>
        <w:pStyle w:val="ListBullet"/>
        <w:spacing w:after="60"/>
      </w:pPr>
      <w:r>
        <w:t>Comparability and consistency help users understand change; consistency is not a reason to preserve a wrong policy.</w:t>
      </w:r>
    </w:p>
    <w:p>
      <w:pPr>
        <w:pStyle w:val="ListBullet"/>
        <w:spacing w:after="60"/>
      </w:pPr>
      <w:r>
        <w:t>Verifiability, timeliness, and understandability constrain how treatments, evidence, and explanations are designed.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System-to-standard bridge</w:t>
      </w:r>
    </w:p>
    <w:p>
      <w:r>
        <w:rPr>
          <w:b/>
          <w:color w:val="008E8E"/>
        </w:rPr>
        <w:t>Impact Assessment</w:t>
      </w:r>
    </w:p>
    <w:p>
      <w:pPr>
        <w:pStyle w:val="ListBullet"/>
        <w:spacing w:after="60"/>
      </w:pPr>
      <w:r>
        <w:t>Translate a new or changed requirement into affected transactions, masters, estimates, reports, controls, and disclosures.</w:t>
      </w:r>
    </w:p>
    <w:p>
      <w:pPr>
        <w:pStyle w:val="ListBullet"/>
        <w:spacing w:after="60"/>
      </w:pPr>
      <w:r>
        <w:t>Determine opening/transition adjustments, effective date, comparative treatment, and audit evidence.</w:t>
      </w:r>
    </w:p>
    <w:p>
      <w:pPr>
        <w:pStyle w:val="ListBullet"/>
        <w:spacing w:after="60"/>
      </w:pPr>
      <w:r>
        <w:t>Configure accounts, products/services, recurring entries, custom fields, reports, and close checklists only after policy approval.</w:t>
      </w:r>
    </w:p>
    <w:p>
      <w:pPr>
        <w:pStyle w:val="ListBullet"/>
        <w:spacing w:after="60"/>
      </w:pPr>
      <w:r>
        <w:t>Test the full chain in a sample company before production and document residual manual controls.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1"/>
      </w:pPr>
      <w:r>
        <w:t>Detailed Activities</w:t>
      </w:r>
    </w:p>
    <w:p>
      <w:r>
        <w:t>The activities progress from transaction diagnosis to a fully reconciled reporting and standards-impact capstone. Use each activity folder as a self-contained evidence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3331"/>
          </w:tcPr>
          <w:p>
            <w:r>
              <w:t>01 · Design a Control-Ready Company File</w:t>
            </w:r>
          </w:p>
        </w:tc>
        <w:tc>
          <w:tcPr>
            <w:tcW w:type="dxa" w:w="3331"/>
          </w:tcPr>
          <w:p>
            <w:r>
              <w:t>Foundation bridge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02 · Run an Advanced Order-to-Cash Cycle</w:t>
            </w:r>
          </w:p>
        </w:tc>
        <w:tc>
          <w:tcPr>
            <w:tcW w:type="dxa" w:w="3331"/>
          </w:tcPr>
          <w:p>
            <w:r>
              <w:t>Intermediate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03 · Control Procure-to-Pay and Supplier Exceptions</w:t>
            </w:r>
          </w:p>
        </w:tc>
        <w:tc>
          <w:tcPr>
            <w:tcW w:type="dxa" w:w="3331"/>
          </w:tcPr>
          <w:p>
            <w:r>
              <w:t>Intermediate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04 · Reconcile Inventory Quantity and Value</w:t>
            </w:r>
          </w:p>
        </w:tc>
        <w:tc>
          <w:tcPr>
            <w:tcW w:type="dxa" w:w="3331"/>
          </w:tcPr>
          <w:p>
            <w:r>
              <w:t>Intermediate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05 · Measure Project Profitability and Billing Leakage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06 · Engineer Bank Rules and Feed Exceptions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07 · Resolve a Bank and Credit-Card Reconciliation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08 · Post and Reverse Month-End Adjustments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09 · Investigate Audit Log and Close-Control Breaches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  <w:tc>
          <w:tcPr>
            <w:tcW w:type="dxa" w:w="3331"/>
          </w:tcPr>
          <w:p>
            <w:r>
              <w:t>K1, A1</w:t>
            </w:r>
          </w:p>
        </w:tc>
      </w:tr>
      <w:tr>
        <w:tc>
          <w:tcPr>
            <w:tcW w:type="dxa" w:w="3331"/>
          </w:tcPr>
          <w:p>
            <w:r>
              <w:t>10 · Build a Reconciled Financial Reporting Pack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  <w:tc>
          <w:tcPr>
            <w:tcW w:type="dxa" w:w="3331"/>
          </w:tcPr>
          <w:p>
            <w:r>
              <w:t>K2, A2, A3</w:t>
            </w:r>
          </w:p>
        </w:tc>
      </w:tr>
      <w:tr>
        <w:tc>
          <w:tcPr>
            <w:tcW w:type="dxa" w:w="3331"/>
          </w:tcPr>
          <w:p>
            <w:r>
              <w:t>11 · Prepare a GST Control and F5 Working Paper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  <w:tc>
          <w:tcPr>
            <w:tcW w:type="dxa" w:w="3331"/>
          </w:tcPr>
          <w:p>
            <w:r>
              <w:t>K2, A2, A3</w:t>
            </w:r>
          </w:p>
        </w:tc>
      </w:tr>
      <w:tr>
        <w:tc>
          <w:tcPr>
            <w:tcW w:type="dxa" w:w="3331"/>
          </w:tcPr>
          <w:p>
            <w:r>
              <w:t>12 · Capstone: Translate a Reporting Change into Books and Reports</w:t>
            </w:r>
          </w:p>
        </w:tc>
        <w:tc>
          <w:tcPr>
            <w:tcW w:type="dxa" w:w="3331"/>
          </w:tcPr>
          <w:p>
            <w:r>
              <w:t>Capstone</w:t>
            </w:r>
          </w:p>
        </w:tc>
        <w:tc>
          <w:tcPr>
            <w:tcW w:type="dxa" w:w="3331"/>
          </w:tcPr>
          <w:p>
            <w:r>
              <w:t>K3, A2, A3, A4</w:t>
            </w:r>
          </w:p>
        </w:tc>
      </w:tr>
    </w:tbl>
    <w:p>
      <w:r>
        <w:br w:type="page"/>
      </w:r>
    </w:p>
    <w:p>
      <w:pPr>
        <w:pStyle w:val="Heading1"/>
      </w:pPr>
      <w:r>
        <w:t>Activity 01 — Design a Control-Ready Company File</w:t>
      </w:r>
    </w:p>
    <w:p>
      <w:r>
        <w:rPr>
          <w:b/>
        </w:rPr>
        <w:t xml:space="preserve">Level: </w:t>
      </w:r>
      <w:r>
        <w:t>Foundation bridge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Orchid Office Solutions Pte Ltd is moving from basic bookkeeping to a controlled cloud ledger before expanding into project work and inventory.</w:t>
      </w:r>
    </w:p>
    <w:p>
      <w:pPr>
        <w:pStyle w:val="Heading2"/>
      </w:pPr>
      <w:r>
        <w:t>Goal</w:t>
      </w:r>
    </w:p>
    <w:p>
      <w:r>
        <w:t>Map opening balances and master data into a numbered chart of accounts with control, clearing, GST, inventory, fixed-asset, and suspense accounts.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chart_of_accounts.csv</w:t>
      </w:r>
    </w:p>
    <w:p>
      <w:pPr>
        <w:pStyle w:val="ListBullet"/>
        <w:spacing w:after="60"/>
      </w:pPr>
      <w:r>
        <w:t>customers.csv</w:t>
      </w:r>
    </w:p>
    <w:p>
      <w:pPr>
        <w:pStyle w:val="ListBullet"/>
        <w:spacing w:after="60"/>
      </w:pPr>
      <w:r>
        <w:t>suppliers.csv</w:t>
      </w:r>
    </w:p>
    <w:p>
      <w:pPr>
        <w:pStyle w:val="ListBullet"/>
        <w:spacing w:after="60"/>
      </w:pPr>
      <w:r>
        <w:t>products_services.csv</w:t>
      </w:r>
    </w:p>
    <w:p>
      <w:pPr>
        <w:pStyle w:val="ListBullet"/>
        <w:spacing w:after="60"/>
      </w:pPr>
      <w:r>
        <w:t>activity-01-control.xlsx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Open the activity control workbook and read the Scenario, Data Dictionary, and Acceptance Tests sheets.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Review the legacy account list and classify each row as retain, rename, merge, make inactive, or create new.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Map control accounts for accounts receivable, accounts payable, inventory asset, GST input/output, fixed assets, accumulated depreciation, and suspense.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Review customer, supplier, and product/service CSVs for duplicate names, missing tax treatment, inactive records, and inconsistent terms.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In a QuickBooks Online practice company, create or import only the approved masters; keep a screenshot or exported list as evidence.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Post or verify opening balances using the approved effective date and record every unresolved item in the exception log.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Run a trial balance and master-data review; confirm the acceptance tests and obtain peer/trainer approval before proceeding.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Trial balance debits equal credits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All control accounts have an owner and purpose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No duplicate active masters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Every exception has an owner and due date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02 — Run an Advanced Order-to-Cash Cycle</w:t>
      </w:r>
    </w:p>
    <w:p>
      <w:r>
        <w:rPr>
          <w:b/>
        </w:rPr>
        <w:t xml:space="preserve">Level: </w:t>
      </w:r>
      <w:r>
        <w:t>Intermediate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Merlion Fit-Outs receives a customer deposit, bills a project in stages, handles a scope reduction, and refunds an overpayment.</w:t>
      </w:r>
    </w:p>
    <w:p>
      <w:pPr>
        <w:pStyle w:val="Heading2"/>
      </w:pPr>
      <w:r>
        <w:t>Goal</w:t>
      </w:r>
    </w:p>
    <w:p>
      <w:r>
        <w:t>Process estimate-to-cash events without recognising revenue early or leaving unapplied customer balances.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customers.csv</w:t>
      </w:r>
    </w:p>
    <w:p>
      <w:pPr>
        <w:pStyle w:val="ListBullet"/>
        <w:spacing w:after="60"/>
      </w:pPr>
      <w:r>
        <w:t>products_services.csv</w:t>
      </w:r>
    </w:p>
    <w:p>
      <w:pPr>
        <w:pStyle w:val="ListBullet"/>
        <w:spacing w:after="60"/>
      </w:pPr>
      <w:r>
        <w:t>sales_events.csv</w:t>
      </w:r>
    </w:p>
    <w:p>
      <w:pPr>
        <w:pStyle w:val="ListBullet"/>
        <w:spacing w:after="60"/>
      </w:pPr>
      <w:r>
        <w:t>activity-02-control.xlsx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Read the contract milestones and identify performance, billing, and cash dates for every event.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Complete the event-to-entry matrix, including GST code, project, debit, credit, and supporting document.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Create the customer, project, products/services, estimate, and customer-deposit treatment in the practice company.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Create the milestone invoices only when the scenario's billing conditions are met; link the receipt to the correct open item.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Process the scope reduction with a credit memo and the overpayment with the appropriate refund workflow.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Run customer balance detail, AR ageing, Profit and Loss, and Balance Sheet reports for the activity period.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Reconcile invoice, receipt, credit, refund, revenue, GST, receivable, and customer-advance amounts; resolve all differences.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No unexplained unapplied cash or negative customer balance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Revenue follows the scenario recognition point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AR ageing agrees to the control account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Credit/refund trace to original GST treatment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03 — Control Procure-to-Pay and Supplier Exceptions</w:t>
      </w:r>
    </w:p>
    <w:p>
      <w:r>
        <w:rPr>
          <w:b/>
        </w:rPr>
        <w:t xml:space="preserve">Level: </w:t>
      </w:r>
      <w:r>
        <w:t>Intermediate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Harbour Tech Services buys equipment and subcontractor services, receives a price variance, a partial delivery, and a supplier credit.</w:t>
      </w:r>
    </w:p>
    <w:p>
      <w:pPr>
        <w:pStyle w:val="Heading2"/>
      </w:pPr>
      <w:r>
        <w:t>Goal</w:t>
      </w:r>
    </w:p>
    <w:p>
      <w:r>
        <w:t>Apply order-receipt-invoice thinking, prevent duplicate liabilities, and preserve approval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suppliers.csv</w:t>
      </w:r>
    </w:p>
    <w:p>
      <w:pPr>
        <w:pStyle w:val="ListBullet"/>
        <w:spacing w:after="60"/>
      </w:pPr>
      <w:r>
        <w:t>purchase_events.csv</w:t>
      </w:r>
    </w:p>
    <w:p>
      <w:pPr>
        <w:pStyle w:val="ListBullet"/>
        <w:spacing w:after="60"/>
      </w:pPr>
      <w:r>
        <w:t>supplier_statement.csv</w:t>
      </w:r>
    </w:p>
    <w:p>
      <w:pPr>
        <w:pStyle w:val="ListBullet"/>
        <w:spacing w:after="60"/>
      </w:pPr>
      <w:r>
        <w:t>activity-03-control.xlsx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Review supplier master changes and flag any duplicate, incomplete, or bank-account-change records for independent approval.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Map each purchase event to commitment, receipt, liability, expense/asset, GST, and payment stages.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Create the purchase order and record only the quantity actually received when preparing the supplier bill.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Record the supplier credit against the correct item/account and GST treatment; avoid netting it against unrelated bills.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Prepare payment for approved, due items and record the approval reference in the evidence register.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Run AP ageing and supplier balance detail, then reconcile them to the supplier statement and AP control account.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Document open items, disputed variances, and corrective actions with owners and dates.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No duplicate invoice posted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AP ageing agrees to control account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Partial receipt and price variance are explained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Supplier credit is correctly applied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04 — Reconcile Inventory Quantity and Value</w:t>
      </w:r>
    </w:p>
    <w:p>
      <w:r>
        <w:rPr>
          <w:b/>
        </w:rPr>
        <w:t xml:space="preserve">Level: </w:t>
      </w:r>
      <w:r>
        <w:t>Intermediate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Lion City Components has sales before purchase entry, damaged stock, a count variance, and an obsolete item.</w:t>
      </w:r>
    </w:p>
    <w:p>
      <w:pPr>
        <w:pStyle w:val="Heading2"/>
      </w:pPr>
      <w:r>
        <w:t>Goal</w:t>
      </w:r>
    </w:p>
    <w:p>
      <w:r>
        <w:t>Correct quantity and value while explaining the cost-of-sales and profit impact of every adjustment.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inventory_items.csv</w:t>
      </w:r>
    </w:p>
    <w:p>
      <w:pPr>
        <w:pStyle w:val="ListBullet"/>
        <w:spacing w:after="60"/>
      </w:pPr>
      <w:r>
        <w:t>inventory_movements.csv</w:t>
      </w:r>
    </w:p>
    <w:p>
      <w:pPr>
        <w:pStyle w:val="ListBullet"/>
        <w:spacing w:after="60"/>
      </w:pPr>
      <w:r>
        <w:t>physical_count.csv</w:t>
      </w:r>
    </w:p>
    <w:p>
      <w:pPr>
        <w:pStyle w:val="ListBullet"/>
        <w:spacing w:after="60"/>
      </w:pPr>
      <w:r>
        <w:t>activity-04-control.xlsx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Review item setup for SKU, inventory/non-inventory type, income account, inventory asset, COGS, cost, price, and GST.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Sequence purchases, sales, returns, and adjustments by transaction date; identify events that create negative inventory.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Enter or import the approved transactions in the practice company and retain the source-document reference.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Compare QuickBooks quantity-on-hand with the physical count; classify differences as timing, damage, error, or obsolescence.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Prepare and approve quantity/value adjustments using a specific reason and supporting evidence.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Run inventory valuation summary/detail, stock-on-hand, Profit and Loss, and Balance Sheet reports.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Reconcile inventory valuation to the inventory asset account and explain the COGS/margin effect.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No unexplained negative inventory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Valuation agrees to GL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Adjustment reasons and approvals are complete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COGS impact is explained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05 — Measure Project Profitability and Billing Leakage</w:t>
      </w:r>
    </w:p>
    <w:p>
      <w:r>
        <w:rPr>
          <w:b/>
        </w:rPr>
        <w:t xml:space="preserve">Level: </w:t>
      </w:r>
      <w:r>
        <w:t>Advanced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Marina Design Studio tracks fixed-fee design projects with staff time, subcontractors, reimbursable costs, and milestone billing.</w:t>
      </w:r>
    </w:p>
    <w:p>
      <w:pPr>
        <w:pStyle w:val="Heading2"/>
      </w:pPr>
      <w:r>
        <w:t>Goal</w:t>
      </w:r>
    </w:p>
    <w:p>
      <w:r>
        <w:t>Capture all project revenue and cost, identify unbilled work, and distinguish accounting accuracy from project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projects.csv</w:t>
      </w:r>
    </w:p>
    <w:p>
      <w:pPr>
        <w:pStyle w:val="ListBullet"/>
        <w:spacing w:after="60"/>
      </w:pPr>
      <w:r>
        <w:t>timesheets.csv</w:t>
      </w:r>
    </w:p>
    <w:p>
      <w:pPr>
        <w:pStyle w:val="ListBullet"/>
        <w:spacing w:after="60"/>
      </w:pPr>
      <w:r>
        <w:t>project_costs.csv</w:t>
      </w:r>
    </w:p>
    <w:p>
      <w:pPr>
        <w:pStyle w:val="ListBullet"/>
        <w:spacing w:after="60"/>
      </w:pPr>
      <w:r>
        <w:t>activity-05-control.xlsx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Review project contracts, estimates, billing milestones, staff cost rates, and billable-cost policy.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Create the customers/projects and verify project-tracking settings in the practice company.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Record time, supplier costs, expenses, estimates, and invoices against the correct project.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Identify transactions with missing or wrong project assignment and correct them with an audit note.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Run project profitability, unbilled time/expense, transaction detail, and customer balance reports.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Reconcile revenue and costs to the project control workbook and compute margin with formulas.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Write a management note on leakage, overruns, billing action, and evidence limitations.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All attributable activity is assigned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Unbilled items are actioned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Project report agrees to source schedules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Margin conclusion identifies drivers and limits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06 — Engineer Bank Rules and Feed Exceptions</w:t>
      </w:r>
    </w:p>
    <w:p>
      <w:r>
        <w:rPr>
          <w:b/>
        </w:rPr>
        <w:t xml:space="preserve">Level: </w:t>
      </w:r>
      <w:r>
        <w:t>Advanced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Northstar Catering receives a month of bank-feed lines with ambiguous descriptions, transfers, card settlements, loan receipts, and recurring rent.</w:t>
      </w:r>
    </w:p>
    <w:p>
      <w:pPr>
        <w:pStyle w:val="Heading2"/>
      </w:pPr>
      <w:r>
        <w:t>Goal</w:t>
      </w:r>
    </w:p>
    <w:p>
      <w:r>
        <w:t>Match before add, design precise rule priority, and restrict auto-add to low-risk transactions.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bank_feed.csv</w:t>
      </w:r>
    </w:p>
    <w:p>
      <w:pPr>
        <w:pStyle w:val="ListBullet"/>
        <w:spacing w:after="60"/>
      </w:pPr>
      <w:r>
        <w:t>existing_ledger.csv</w:t>
      </w:r>
    </w:p>
    <w:p>
      <w:pPr>
        <w:pStyle w:val="ListBullet"/>
        <w:spacing w:after="60"/>
      </w:pPr>
      <w:r>
        <w:t>rule_candidates.csv</w:t>
      </w:r>
    </w:p>
    <w:p>
      <w:pPr>
        <w:pStyle w:val="ListBullet"/>
        <w:spacing w:after="60"/>
      </w:pPr>
      <w:r>
        <w:t>activity-06-control.xlsx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Load the bank-feed, existing-ledger, and rule-candidate sheets; do not post anything until possible matches are identified.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Classify each line as match, transfer, add, exclude with reason, or investigate; document the evidence.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Design rules from most specific to most general using bank text/description, amount, account, payee, category, GST, and project.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Mark only stable, low-risk patterns as eligible for auto-add and define a review sample/frequency.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In the practice company, create the approved rules and process the test batch.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Compare predicted and actual classification; investigate false positives and false negatives.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Update the rule register with owner, priority, status, auto-add decision, and next review date.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Existing entries are matched, not duplicated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Rule priority is documented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No high-risk auto-add rule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Every excluded line has evidence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07 — Resolve a Bank and Credit-Card Reconciliation</w:t>
      </w:r>
    </w:p>
    <w:p>
      <w:r>
        <w:rPr>
          <w:b/>
        </w:rPr>
        <w:t xml:space="preserve">Level: </w:t>
      </w:r>
      <w:r>
        <w:t>Advanced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Sunrise Retail's books include a duplicate expense, an outstanding cheque, a missing fee, a deposit in transit, and a changed reconciled item.</w:t>
      </w:r>
    </w:p>
    <w:p>
      <w:pPr>
        <w:pStyle w:val="Heading2"/>
      </w:pPr>
      <w:r>
        <w:t>Goal</w:t>
      </w:r>
    </w:p>
    <w:p>
      <w:r>
        <w:t>Reach a supported zero difference without an unexplained forced adjustment.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bank_statement.csv</w:t>
      </w:r>
    </w:p>
    <w:p>
      <w:pPr>
        <w:pStyle w:val="ListBullet"/>
        <w:spacing w:after="60"/>
      </w:pPr>
      <w:r>
        <w:t>credit_card_statement.csv</w:t>
      </w:r>
    </w:p>
    <w:p>
      <w:pPr>
        <w:pStyle w:val="ListBullet"/>
        <w:spacing w:after="60"/>
      </w:pPr>
      <w:r>
        <w:t>ledger_transactions.csv</w:t>
      </w:r>
    </w:p>
    <w:p>
      <w:pPr>
        <w:pStyle w:val="ListBullet"/>
        <w:spacing w:after="60"/>
      </w:pPr>
      <w:r>
        <w:t>activity-07-control.xlsx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Confirm the statement period, opening balance, ending balance, and complete ledger population.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Match statement lines to ledger entries by amount, date, reference, and commercial substance.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Classify differences as outstanding, in transit, missing, duplicate, altered, bank-only, or timing.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Prepare approved corrections for the duplicate and missing fee; do not clear outstanding/in-transit items prematurely.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Complete the QuickBooks reconciliation for bank and card accounts and save the reconciliation reports.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Review history/audit log for the changed previously reconciled item and document the resolution.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Roll forward outstanding items and obtain reviewer sign-off on the reconciliation workpaper.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Reconciliation difference is zero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No forced unexplained adjustment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Outstanding items roll forward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Changes to reconciled items are investigated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08 — Post and Reverse Month-End Adjustments</w:t>
      </w:r>
    </w:p>
    <w:p>
      <w:r>
        <w:rPr>
          <w:b/>
        </w:rPr>
        <w:t xml:space="preserve">Level: </w:t>
      </w:r>
      <w:r>
        <w:t>Advanced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CloudWorks Asia closes June with unbilled utilities, prepaid insurance, equipment depreciation, deferred customer revenue, and a USD payable.</w:t>
      </w:r>
    </w:p>
    <w:p>
      <w:pPr>
        <w:pStyle w:val="Heading2"/>
      </w:pPr>
      <w:r>
        <w:t>Goal</w:t>
      </w:r>
    </w:p>
    <w:p>
      <w:r>
        <w:t>Prepare supported accrual, deferral, depreciation, and foreign-currency adjustments with reversal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adjustment_inputs.csv</w:t>
      </w:r>
    </w:p>
    <w:p>
      <w:pPr>
        <w:pStyle w:val="ListBullet"/>
        <w:spacing w:after="60"/>
      </w:pPr>
      <w:r>
        <w:t>exchange_rates.csv</w:t>
      </w:r>
    </w:p>
    <w:p>
      <w:pPr>
        <w:pStyle w:val="ListBullet"/>
        <w:spacing w:after="60"/>
      </w:pPr>
      <w:r>
        <w:t>fixed_asset_register.csv</w:t>
      </w:r>
    </w:p>
    <w:p>
      <w:pPr>
        <w:pStyle w:val="ListBullet"/>
        <w:spacing w:after="60"/>
      </w:pPr>
      <w:r>
        <w:t>activity-08-control.xlsx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Review each issue against the event, reporting period, policy, evidence, and materiality threshold.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Calculate accrual, prepaid release, depreciation, deferred-revenue release, and FX remeasurement using workbook formulas.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Prepare journal entries with date, debit, credit, tax treatment, class/project where relevant, memo, and attachment reference.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Identify which entries should reverse and set the approved reversal date/method.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Post the approved entries in the practice company; retain journal and audit-log evidence.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Run pre/post trial balance, Profit and Loss, and Balance Sheet reports and complete the bridge.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Review next-period reversal and source-document arrival to prevent double counting.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Entries balance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Calculations are formula-driven and supported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Reversals prevent double counting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Statement effects match policy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09 — Investigate Audit Log and Close-Control Breaches</w:t>
      </w:r>
    </w:p>
    <w:p>
      <w:r>
        <w:rPr>
          <w:b/>
        </w:rPr>
        <w:t xml:space="preserve">Level: </w:t>
      </w:r>
      <w:r>
        <w:t>Advanced</w:t>
      </w:r>
      <w:r>
        <w:rPr>
          <w:b/>
        </w:rPr>
        <w:t xml:space="preserve"> · Criteria: </w:t>
      </w:r>
      <w:r>
        <w:t>K1, A1</w:t>
      </w:r>
    </w:p>
    <w:p>
      <w:pPr>
        <w:pStyle w:val="Heading2"/>
      </w:pPr>
      <w:r>
        <w:t>Scenario</w:t>
      </w:r>
    </w:p>
    <w:p>
      <w:r>
        <w:t>After management sign-off, the controller finds a backdated invoice edit, a deleted bill, a new bank rule, and a supplier bank-detail change.</w:t>
      </w:r>
    </w:p>
    <w:p>
      <w:pPr>
        <w:pStyle w:val="Heading2"/>
      </w:pPr>
      <w:r>
        <w:t>Goal</w:t>
      </w:r>
    </w:p>
    <w:p>
      <w:r>
        <w:t>Reconstruct events, assess financial impact, strengthen roles, and lock the approved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audit_log.csv</w:t>
      </w:r>
    </w:p>
    <w:p>
      <w:pPr>
        <w:pStyle w:val="ListBullet"/>
        <w:spacing w:after="60"/>
      </w:pPr>
      <w:r>
        <w:t>user_roles.csv</w:t>
      </w:r>
    </w:p>
    <w:p>
      <w:pPr>
        <w:pStyle w:val="ListBullet"/>
        <w:spacing w:after="60"/>
      </w:pPr>
      <w:r>
        <w:t>close_checklist.csv</w:t>
      </w:r>
    </w:p>
    <w:p>
      <w:pPr>
        <w:pStyle w:val="ListBullet"/>
        <w:spacing w:after="60"/>
      </w:pPr>
      <w:r>
        <w:t>activity-09-control.xlsx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Filter the audit-log dataset by date, user, event type, transaction, and indirect/system administration activity.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Reconstruct each event using before/after values and supporting-document references.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Quantify the financial-statement, tax, reconciliation, and control impact of every change.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Compare current roles with least privilege and segregation-of-duties requirements; propose changes.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Correct or escalate affected transactions in the practice company and document approval.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Complete the close checklist, set the approved close date/password control, and define exception authority.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Present root cause, immediate containment, corrective action, owner, and due date.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Every event is reconstructed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Financial impact is quantified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Role conflicts are remediated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Close is locked with controlled exceptions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10 — Build a Reconciled Financial Reporting Pack</w:t>
      </w:r>
    </w:p>
    <w:p>
      <w:r>
        <w:rPr>
          <w:b/>
        </w:rPr>
        <w:t xml:space="preserve">Level: </w:t>
      </w:r>
      <w:r>
        <w:t>Advanced</w:t>
      </w:r>
      <w:r>
        <w:rPr>
          <w:b/>
        </w:rPr>
        <w:t xml:space="preserve"> · Criteria: </w:t>
      </w:r>
      <w:r>
        <w:t>K2, A2, A3</w:t>
      </w:r>
    </w:p>
    <w:p>
      <w:pPr>
        <w:pStyle w:val="Heading2"/>
      </w:pPr>
      <w:r>
        <w:t>Scenario</w:t>
      </w:r>
    </w:p>
    <w:p>
      <w:r>
        <w:t>Beacon Services needs a monthly pack for directors after rapid growth created ageing, project-margin, and cash-flow concerns.</w:t>
      </w:r>
    </w:p>
    <w:p>
      <w:pPr>
        <w:pStyle w:val="Heading2"/>
      </w:pPr>
      <w:r>
        <w:t>Goal</w:t>
      </w:r>
    </w:p>
    <w:p>
      <w:r>
        <w:t>Produce statements and schedules that tie to validated source data, then explain performance drivers and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trial_balance.csv</w:t>
      </w:r>
    </w:p>
    <w:p>
      <w:pPr>
        <w:pStyle w:val="ListBullet"/>
        <w:spacing w:after="60"/>
      </w:pPr>
      <w:r>
        <w:t>profit_loss.csv</w:t>
      </w:r>
    </w:p>
    <w:p>
      <w:pPr>
        <w:pStyle w:val="ListBullet"/>
        <w:spacing w:after="60"/>
      </w:pPr>
      <w:r>
        <w:t>balance_sheet.csv</w:t>
      </w:r>
    </w:p>
    <w:p>
      <w:pPr>
        <w:pStyle w:val="ListBullet"/>
        <w:spacing w:after="60"/>
      </w:pPr>
      <w:r>
        <w:t>cash_flow.csv</w:t>
      </w:r>
    </w:p>
    <w:p>
      <w:pPr>
        <w:pStyle w:val="ListBullet"/>
        <w:spacing w:after="60"/>
      </w:pPr>
      <w:r>
        <w:t>ar_ageing.csv</w:t>
      </w:r>
    </w:p>
    <w:p>
      <w:pPr>
        <w:pStyle w:val="ListBullet"/>
        <w:spacing w:after="60"/>
      </w:pPr>
      <w:r>
        <w:t>ap_ageing.csv</w:t>
      </w:r>
    </w:p>
    <w:p>
      <w:pPr>
        <w:pStyle w:val="ListBullet"/>
        <w:spacing w:after="60"/>
      </w:pPr>
      <w:r>
        <w:t>project_profitability.csv</w:t>
      </w:r>
    </w:p>
    <w:p>
      <w:pPr>
        <w:pStyle w:val="ListBullet"/>
        <w:spacing w:after="60"/>
      </w:pPr>
      <w:r>
        <w:t>activity-10-control.xlsx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Confirm company, period, accounting method, currency, comparison basis, and report cut-off.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Import or copy the provided reports into the control workbook without overwriting the raw-data sheets.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Reconcile AR/AP ageing, cash, project results, retained earnings, and statement totals using formulas and exception flags.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Build trend and variance analyses for revenue, gross margin, operating result, working capital, and cash.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Investigate the largest movements by drilling to customers, suppliers, projects, products/services, and transactions.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Write an executive narrative separating facts, assumptions, risks, and recommendations.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Run the acceptance tests and export/share the final pack with period, basis, run date, and source clearly labelled.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All schedules tie to the GL or explain differences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Statements are internally consistent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Conclusions cite quantified drivers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Actions have owner and date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11 — Prepare a GST Control and F5 Working Paper</w:t>
      </w:r>
    </w:p>
    <w:p>
      <w:r>
        <w:rPr>
          <w:b/>
        </w:rPr>
        <w:t xml:space="preserve">Level: </w:t>
      </w:r>
      <w:r>
        <w:t>Advanced</w:t>
      </w:r>
      <w:r>
        <w:rPr>
          <w:b/>
        </w:rPr>
        <w:t xml:space="preserve"> · Criteria: </w:t>
      </w:r>
      <w:r>
        <w:t>K2, A2, A3</w:t>
      </w:r>
    </w:p>
    <w:p>
      <w:pPr>
        <w:pStyle w:val="Heading2"/>
      </w:pPr>
      <w:r>
        <w:t>Scenario</w:t>
      </w:r>
    </w:p>
    <w:p>
      <w:r>
        <w:t>Straits Commerce has standard-rated, zero-rated, exempt, out-of-scope, credit-note, and potentially disallowed input-tax transactions for a quarterly GST review.</w:t>
      </w:r>
    </w:p>
    <w:p>
      <w:pPr>
        <w:pStyle w:val="Heading2"/>
      </w:pPr>
      <w:r>
        <w:t>Goal</w:t>
      </w:r>
    </w:p>
    <w:p>
      <w:r>
        <w:t>Validate tax coding, reconcile output/input tax, and identify items requiring correction or escalation.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gst_transactions.csv</w:t>
      </w:r>
    </w:p>
    <w:p>
      <w:pPr>
        <w:pStyle w:val="ListBullet"/>
        <w:spacing w:after="60"/>
      </w:pPr>
      <w:r>
        <w:t>gst_control_accounts.csv</w:t>
      </w:r>
    </w:p>
    <w:p>
      <w:pPr>
        <w:pStyle w:val="ListBullet"/>
        <w:spacing w:after="60"/>
      </w:pPr>
      <w:r>
        <w:t>tax_code_matrix.csv</w:t>
      </w:r>
    </w:p>
    <w:p>
      <w:pPr>
        <w:pStyle w:val="ListBullet"/>
        <w:spacing w:after="60"/>
      </w:pPr>
      <w:r>
        <w:t>activity-11-control.xlsx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Read the tax-code matrix and confirm the applicable period and prevailing rate; flag judgement cases for escalation.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Review each transaction's date, supply/purchase type, customer/supplier location, tax invoice evidence, tax code, and GST amount.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Recalculate expected GST using formulas and record coding/documentation exceptions without altering raw data.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Run or review GST detail reports and reconcile taxable values and output/input tax to the control accounts.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Populate the draft F5 working paper from validated totals and preserve the drill-down to source transactions.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Assess whether errors can be corrected in a subsequent F5 under the administrative concession or require GST F7/escalation.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Complete reviewer sign-off and retain evidence supporting claims and adjustments.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Output/input tax ties to control accounts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Rate and coding exceptions are documented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Disallowed/unsupported input tax is excluded or escalated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Working paper traces to source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12 — Capstone: Translate a Reporting Change into Books and Reports</w:t>
      </w:r>
    </w:p>
    <w:p>
      <w:r>
        <w:rPr>
          <w:b/>
        </w:rPr>
        <w:t xml:space="preserve">Level: </w:t>
      </w:r>
      <w:r>
        <w:t>Capstone</w:t>
      </w:r>
      <w:r>
        <w:rPr>
          <w:b/>
        </w:rPr>
        <w:t xml:space="preserve"> · Criteria: </w:t>
      </w:r>
      <w:r>
        <w:t>K3, A2, A3, A4</w:t>
      </w:r>
    </w:p>
    <w:p>
      <w:pPr>
        <w:pStyle w:val="Heading2"/>
      </w:pPr>
      <w:r>
        <w:t>Scenario</w:t>
      </w:r>
    </w:p>
    <w:p>
      <w:r>
        <w:t>Evergreen Events moves from cash-basis habits to an accrual reporting framework while introducing deposits, contract milestones, inventory, equipment, and foreign suppliers.</w:t>
      </w:r>
    </w:p>
    <w:p>
      <w:pPr>
        <w:pStyle w:val="Heading2"/>
      </w:pPr>
      <w:r>
        <w:t>Goal</w:t>
      </w:r>
    </w:p>
    <w:p>
      <w:r>
        <w:t>Assess policy impacts, post a controlled close, produce corrected statements, and present the qualitative-characteristic effects to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capstone_events.csv</w:t>
      </w:r>
    </w:p>
    <w:p>
      <w:pPr>
        <w:pStyle w:val="ListBullet"/>
        <w:spacing w:after="60"/>
      </w:pPr>
      <w:r>
        <w:t>capstone_trial_balance.csv</w:t>
      </w:r>
    </w:p>
    <w:p>
      <w:pPr>
        <w:pStyle w:val="ListBullet"/>
        <w:spacing w:after="60"/>
      </w:pPr>
      <w:r>
        <w:t>policy_change_log.csv</w:t>
      </w:r>
    </w:p>
    <w:p>
      <w:pPr>
        <w:pStyle w:val="ListBullet"/>
        <w:spacing w:after="60"/>
      </w:pPr>
      <w:r>
        <w:t>activity-12-control.xlsx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Identify the applicable reporting framework and document assumptions, effective date, materiality, and areas requiring professional judgement.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Analyse customer deposits, unbilled revenue, supplier accruals, prepayments, inventory/NRV, PPE/depreciation, and foreign-currency balances.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Complete the impact matrix: requirement, current treatment, required treatment, entry, reports, disclosures, controls, and evidence.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Calculate and prepare approved adjustments in the capstone workbook; post them in the practice company where feasible.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Produce corrected Profit and Loss, Balance Sheet, Cash Flow, subledger/control schedules, and a pre/post bridge.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Evaluate relevance, faithful representation, comparability, verifiability, timeliness, and understandability before and after the change.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Present management conclusions, risks, limitations, actions, owners, dates, and residual manual controls.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All K3/A4 impacts are addressed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Entries and statements reconcile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Qualitative-characteristic analysis is specific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Management actions and controls are implementable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pPr>
        <w:pStyle w:val="Heading1"/>
      </w:pPr>
      <w:r>
        <w:t>Assessment Preparation</w:t>
      </w:r>
    </w:p>
    <w:p>
      <w:pPr>
        <w:pStyle w:val="ListBullet"/>
        <w:spacing w:after="60"/>
      </w:pPr>
      <w:r>
        <w:t>WA: 3 open-ended SAQs, 1 hour, covering K1–K3.</w:t>
      </w:r>
    </w:p>
    <w:p>
      <w:pPr>
        <w:pStyle w:val="ListBullet"/>
        <w:spacing w:after="60"/>
      </w:pPr>
      <w:r>
        <w:t>PP: 3 practical tasks, 1 hour, covering A1–A4 and aligned to Activities 2, 7, 8, 10, and 12.</w:t>
      </w:r>
    </w:p>
    <w:p>
      <w:pPr>
        <w:pStyle w:val="ListBullet"/>
        <w:spacing w:after="60"/>
      </w:pPr>
      <w:r>
        <w:t>Open book: course slides, this guide, activity materials, and approved sources only.</w:t>
      </w:r>
    </w:p>
    <w:p>
      <w:pPr>
        <w:pStyle w:val="ListBullet"/>
        <w:spacing w:after="60"/>
      </w:pPr>
      <w:r>
        <w:t>Submit on the LMS, complete assessment digital attendance, receive the decision/feedback, and sign the Assessment Summary Record.</w:t>
      </w:r>
    </w:p>
    <w:p>
      <w:pPr>
        <w:pStyle w:val="Heading1"/>
      </w:pPr>
      <w:r>
        <w:t>Source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Use in courseware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3331"/>
          </w:tcPr>
          <w:p>
            <w:r>
              <w:t>Course page</w:t>
            </w:r>
          </w:p>
        </w:tc>
        <w:tc>
          <w:tcPr>
            <w:tcW w:type="dxa" w:w="3331"/>
          </w:tcPr>
          <w:p>
            <w:r>
              <w:t>2 days/16 hours; LO1-LO3; published topic and assessment scope</w:t>
            </w:r>
          </w:p>
        </w:tc>
        <w:tc>
          <w:tcPr>
            <w:tcW w:type="dxa" w:w="3331"/>
          </w:tcPr>
          <w:p>
            <w:r/>
            <w:hyperlink r:id="rId23">
              <w:r>
                <w:rPr>
                  <w:color w:val="1F6FEB"/>
                  <w:u w:val="single"/>
                </w:rPr>
                <w:t>https://www.tertiarycourses.com.sg/wsq-advanced-transactional-accounting-with-quickbooks-online.html</w:t>
              </w:r>
            </w:hyperlink>
          </w:p>
        </w:tc>
      </w:tr>
      <w:tr>
        <w:tc>
          <w:tcPr>
            <w:tcW w:type="dxa" w:w="3331"/>
          </w:tcPr>
          <w:p>
            <w:r>
              <w:t>Intuit - bank rules</w:t>
            </w:r>
          </w:p>
        </w:tc>
        <w:tc>
          <w:tcPr>
            <w:tcW w:type="dxa" w:w="3331"/>
          </w:tcPr>
          <w:p>
            <w:r>
              <w:t>rule conditions, priority, review, auto-add</w:t>
            </w:r>
          </w:p>
        </w:tc>
        <w:tc>
          <w:tcPr>
            <w:tcW w:type="dxa" w:w="3331"/>
          </w:tcPr>
          <w:p>
            <w:r/>
            <w:hyperlink r:id="rId24">
              <w:r>
                <w:rPr>
                  <w:color w:val="1F6FEB"/>
                  <w:u w:val="single"/>
                </w:rPr>
                <w:t>https://quickbooks.intuit.com/learn-support/en-sg/help-article/banking/set-bank-rules-categorise-online-banking-online/L0mjJl0nD_SG_en_SG</w:t>
              </w:r>
            </w:hyperlink>
          </w:p>
        </w:tc>
      </w:tr>
      <w:tr>
        <w:tc>
          <w:tcPr>
            <w:tcW w:type="dxa" w:w="3331"/>
          </w:tcPr>
          <w:p>
            <w:r>
              <w:t>Intuit - reconciliation</w:t>
            </w:r>
          </w:p>
        </w:tc>
        <w:tc>
          <w:tcPr>
            <w:tcW w:type="dxa" w:w="3331"/>
          </w:tcPr>
          <w:p>
            <w:r>
              <w:t>reconciliation purpose and prerequisites</w:t>
            </w:r>
          </w:p>
        </w:tc>
        <w:tc>
          <w:tcPr>
            <w:tcW w:type="dxa" w:w="3331"/>
          </w:tcPr>
          <w:p>
            <w:r/>
            <w:hyperlink r:id="rId25">
              <w:r>
                <w:rPr>
                  <w:color w:val="1F6FEB"/>
                  <w:u w:val="single"/>
                </w:rPr>
                <w:t>https://quickbooks.intuit.com/learn-support/en-us/help-article/statement-reconciliation/reconcile-account-quickbooks-online/L3XzsllsK_US_en_US</w:t>
              </w:r>
            </w:hyperlink>
          </w:p>
        </w:tc>
      </w:tr>
      <w:tr>
        <w:tc>
          <w:tcPr>
            <w:tcW w:type="dxa" w:w="3331"/>
          </w:tcPr>
          <w:p>
            <w:r>
              <w:t>Intuit - projects</w:t>
            </w:r>
          </w:p>
        </w:tc>
        <w:tc>
          <w:tcPr>
            <w:tcW w:type="dxa" w:w="3331"/>
          </w:tcPr>
          <w:p>
            <w:r>
              <w:t>project setup and profitability tracking</w:t>
            </w:r>
          </w:p>
        </w:tc>
        <w:tc>
          <w:tcPr>
            <w:tcW w:type="dxa" w:w="3331"/>
          </w:tcPr>
          <w:p>
            <w:r/>
            <w:hyperlink r:id="rId26">
              <w:r>
                <w:rPr>
                  <w:color w:val="1F6FEB"/>
                  <w:u w:val="single"/>
                </w:rPr>
                <w:t>https://quickbooks.intuit.com/learn-support/en-sg/help-article/regular-payroll/track-income-costs-profitability-project/L6VLEZrgH_SG_en_SG</w:t>
              </w:r>
            </w:hyperlink>
          </w:p>
        </w:tc>
      </w:tr>
      <w:tr>
        <w:tc>
          <w:tcPr>
            <w:tcW w:type="dxa" w:w="3331"/>
          </w:tcPr>
          <w:p>
            <w:r>
              <w:t>Intuit - audit log</w:t>
            </w:r>
          </w:p>
        </w:tc>
        <w:tc>
          <w:tcPr>
            <w:tcW w:type="dxa" w:w="3331"/>
          </w:tcPr>
          <w:p>
            <w:r>
              <w:t>audit-log scope and indirect/system events</w:t>
            </w:r>
          </w:p>
        </w:tc>
        <w:tc>
          <w:tcPr>
            <w:tcW w:type="dxa" w:w="3331"/>
          </w:tcPr>
          <w:p>
            <w:r/>
            <w:hyperlink r:id="rId27">
              <w:r>
                <w:rPr>
                  <w:color w:val="1F6FEB"/>
                  <w:u w:val="single"/>
                </w:rPr>
                <w:t>https://quickbooks.intuit.com/learn-support/en-us/help-article/audit-log/use-audit-log-quickbooks-online/L2WoVnW6I_US_en_US</w:t>
              </w:r>
            </w:hyperlink>
          </w:p>
        </w:tc>
      </w:tr>
      <w:tr>
        <w:tc>
          <w:tcPr>
            <w:tcW w:type="dxa" w:w="3331"/>
          </w:tcPr>
          <w:p>
            <w:r>
              <w:t>Intuit - close books</w:t>
            </w:r>
          </w:p>
        </w:tc>
        <w:tc>
          <w:tcPr>
            <w:tcW w:type="dxa" w:w="3331"/>
          </w:tcPr>
          <w:p>
            <w:r>
              <w:t>close and lock controls</w:t>
            </w:r>
          </w:p>
        </w:tc>
        <w:tc>
          <w:tcPr>
            <w:tcW w:type="dxa" w:w="3331"/>
          </w:tcPr>
          <w:p>
            <w:r/>
            <w:hyperlink r:id="rId28">
              <w:r>
                <w:rPr>
                  <w:color w:val="1F6FEB"/>
                  <w:u w:val="single"/>
                </w:rPr>
                <w:t>https://quickbooks.intuit.com/learn-support/en-us/help-article/close-books/close-books-quickbooks-online/L59LelyPM_US_en_US</w:t>
              </w:r>
            </w:hyperlink>
          </w:p>
        </w:tc>
      </w:tr>
      <w:tr>
        <w:tc>
          <w:tcPr>
            <w:tcW w:type="dxa" w:w="3331"/>
          </w:tcPr>
          <w:p>
            <w:r>
              <w:t>IRAS - completing GST returns</w:t>
            </w:r>
          </w:p>
        </w:tc>
        <w:tc>
          <w:tcPr>
            <w:tcW w:type="dxa" w:w="3331"/>
          </w:tcPr>
          <w:p>
            <w:r>
              <w:t>9% standard rate, return controls, common errors</w:t>
            </w:r>
          </w:p>
        </w:tc>
        <w:tc>
          <w:tcPr>
            <w:tcW w:type="dxa" w:w="3331"/>
          </w:tcPr>
          <w:p>
            <w:r/>
            <w:hyperlink r:id="rId29">
              <w:r>
                <w:rPr>
                  <w:color w:val="1F6FEB"/>
                  <w:u w:val="single"/>
                </w:rPr>
                <w:t>https://www.iras.gov.sg/taxes/goods-services-tax-%28gst%29/filing-gst/completing-gst-returns</w:t>
              </w:r>
            </w:hyperlink>
          </w:p>
        </w:tc>
      </w:tr>
      <w:tr>
        <w:tc>
          <w:tcPr>
            <w:tcW w:type="dxa" w:w="3331"/>
          </w:tcPr>
          <w:p>
            <w:r>
              <w:t>IRAS - correcting GST errors</w:t>
            </w:r>
          </w:p>
        </w:tc>
        <w:tc>
          <w:tcPr>
            <w:tcW w:type="dxa" w:w="3331"/>
          </w:tcPr>
          <w:p>
            <w:r>
              <w:t>F7 and correction evidence</w:t>
            </w:r>
          </w:p>
        </w:tc>
        <w:tc>
          <w:tcPr>
            <w:tcW w:type="dxa" w:w="3331"/>
          </w:tcPr>
          <w:p>
            <w:r/>
            <w:hyperlink r:id="rId30">
              <w:r>
                <w:rPr>
                  <w:color w:val="1F6FEB"/>
                  <w:u w:val="single"/>
                </w:rPr>
                <w:t>https://www.iras.gov.sg/taxes/goods-services-tax-%28gst%29/filing-gst/correcting-errors-made-in-gst-return-%28filing-gst-f7%29</w:t>
              </w:r>
            </w:hyperlink>
          </w:p>
        </w:tc>
      </w:tr>
    </w:tbl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© Tertiary Infotech Academy Pte Ltd · TGS-2023018989 · Page </w:t>
    </w:r>
    <w:r/>
    <w:fldSimple w:instr="PAGE"/>
    <w:r>
      <w:t xml:space="preserve"> of </w:t>
    </w:r>
    <w:r/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4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hyperlink" Target="https://www.tertiarycourses.com.sg/wsq-advanced-transactional-accounting-with-quickbooks-online.html" TargetMode="External"/><Relationship Id="rId24" Type="http://schemas.openxmlformats.org/officeDocument/2006/relationships/hyperlink" Target="https://quickbooks.intuit.com/learn-support/en-sg/help-article/banking/set-bank-rules-categorise-online-banking-online/L0mjJl0nD_SG_en_SG" TargetMode="External"/><Relationship Id="rId25" Type="http://schemas.openxmlformats.org/officeDocument/2006/relationships/hyperlink" Target="https://quickbooks.intuit.com/learn-support/en-us/help-article/statement-reconciliation/reconcile-account-quickbooks-online/L3XzsllsK_US_en_US" TargetMode="External"/><Relationship Id="rId26" Type="http://schemas.openxmlformats.org/officeDocument/2006/relationships/hyperlink" Target="https://quickbooks.intuit.com/learn-support/en-sg/help-article/regular-payroll/track-income-costs-profitability-project/L6VLEZrgH_SG_en_SG" TargetMode="External"/><Relationship Id="rId27" Type="http://schemas.openxmlformats.org/officeDocument/2006/relationships/hyperlink" Target="https://quickbooks.intuit.com/learn-support/en-us/help-article/audit-log/use-audit-log-quickbooks-online/L2WoVnW6I_US_en_US" TargetMode="External"/><Relationship Id="rId28" Type="http://schemas.openxmlformats.org/officeDocument/2006/relationships/hyperlink" Target="https://quickbooks.intuit.com/learn-support/en-us/help-article/close-books/close-books-quickbooks-online/L59LelyPM_US_en_US" TargetMode="External"/><Relationship Id="rId29" Type="http://schemas.openxmlformats.org/officeDocument/2006/relationships/hyperlink" Target="https://www.iras.gov.sg/taxes/goods-services-tax-%28gst%29/filing-gst/completing-gst-returns" TargetMode="External"/><Relationship Id="rId30" Type="http://schemas.openxmlformats.org/officeDocument/2006/relationships/hyperlink" Target="https://www.iras.gov.sg/taxes/goods-services-tax-%28gst%29/filing-gst/correcting-errors-made-in-gst-return-%28filing-gst-f7%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