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/>
        <w:jc w:val="center"/>
      </w:pPr>
      <w:r>
        <w:rPr>
          <w:rFonts w:ascii="Arial" w:hAnsi="Arial"/>
          <w:b/>
          <w:color w:val="008E8E"/>
          <w:sz w:val="36"/>
        </w:rPr>
        <w:t>LESSON PLAN</w:t>
      </w:r>
    </w:p>
    <w:p>
      <w:pPr>
        <w:spacing w:before="240"/>
        <w:jc w:val="center"/>
      </w:pPr>
      <w:r>
        <w:rPr>
          <w:rFonts w:ascii="Arial" w:hAnsi="Arial"/>
          <w:b/>
          <w:color w:val="17242B"/>
          <w:sz w:val="56"/>
        </w:rPr>
        <w:t>Advanced Transactional Accounting with QuickBooks Online</w:t>
      </w:r>
    </w:p>
    <w:p>
      <w:pPr>
        <w:jc w:val="center"/>
      </w:pPr>
      <w:r>
        <w:rPr>
          <w:rFonts w:ascii="Arial" w:hAnsi="Arial"/>
          <w:color w:val="5B6573"/>
          <w:sz w:val="22"/>
        </w:rPr>
        <w:t>WSQ Course Code: TGS-2023018989</w:t>
      </w:r>
    </w:p>
    <w:p>
      <w:pPr>
        <w:jc w:val="center"/>
      </w:pPr>
      <w:r>
        <w:rPr>
          <w:rFonts w:ascii="Arial" w:hAnsi="Arial"/>
          <w:color w:val="5B6573"/>
          <w:sz w:val="22"/>
        </w:rPr>
        <w:t>TSC: Transactional Accounting · ACC-CRP-4009-1.1</w:t>
      </w:r>
    </w:p>
    <w:p>
      <w:pPr>
        <w:jc w:val="center"/>
      </w:pPr>
      <w:r>
        <w:rPr>
          <w:rFonts w:ascii="Arial" w:hAnsi="Arial"/>
          <w:color w:val="5B6573"/>
          <w:sz w:val="22"/>
        </w:rPr>
        <w:t>Conducted by Tertiary Infotech Academy Pte Ltd · UEN 201200696W</w:t>
      </w:r>
    </w:p>
    <w:p>
      <w:pPr>
        <w:jc w:val="center"/>
      </w:pPr>
      <w:r>
        <w:rPr>
          <w:rFonts w:ascii="Arial" w:hAnsi="Arial"/>
          <w:color w:val="5B6573"/>
          <w:sz w:val="22"/>
        </w:rPr>
        <w:t>Version 11.0 · 16 August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98"/>
            <w:vAlign w:val="center"/>
          </w:tcPr>
          <w:p>
            <w:r>
              <w:t>10.0</w:t>
            </w:r>
          </w:p>
        </w:tc>
        <w:tc>
          <w:tcPr>
            <w:tcW w:type="dxa" w:w="2498"/>
            <w:vAlign w:val="center"/>
          </w:tcPr>
          <w:p>
            <w:r>
              <w:t>Legacy release</w:t>
            </w:r>
          </w:p>
        </w:tc>
        <w:tc>
          <w:tcPr>
            <w:tcW w:type="dxa" w:w="2498"/>
            <w:vAlign w:val="center"/>
          </w:tcPr>
          <w:p>
            <w:r>
              <w:t>Legacy trainer-slide baseline.</w:t>
            </w:r>
          </w:p>
        </w:tc>
        <w:tc>
          <w:tcPr>
            <w:tcW w:type="dxa" w:w="2498"/>
            <w:vAlign w:val="center"/>
          </w:tcPr>
          <w:p>
            <w:r>
              <w:t>Tertiary Infotech Academy</w:t>
            </w:r>
          </w:p>
        </w:tc>
      </w:tr>
      <w:tr>
        <w:tc>
          <w:tcPr>
            <w:tcW w:type="dxa" w:w="2498"/>
            <w:vAlign w:val="center"/>
          </w:tcPr>
          <w:p>
            <w:r>
              <w:t>11.0</w:t>
            </w:r>
          </w:p>
        </w:tc>
        <w:tc>
          <w:tcPr>
            <w:tcW w:type="dxa" w:w="2498"/>
            <w:vAlign w:val="center"/>
          </w:tcPr>
          <w:p>
            <w:r>
              <w:t>16 August 2026</w:t>
            </w:r>
          </w:p>
        </w:tc>
        <w:tc>
          <w:tcPr>
            <w:tcW w:type="dxa" w:w="2498"/>
            <w:vAlign w:val="center"/>
          </w:tcPr>
          <w:p>
            <w:r>
              <w:t>Rebuilt Lesson Plan with advanced QuickBooks Online controls, detailed activities, current Singapore GST context, SFRS(I)/FRS framing, and cross-artifact assessment alignment.</w:t>
            </w:r>
          </w:p>
        </w:tc>
        <w:tc>
          <w:tcPr>
            <w:tcW w:type="dxa" w:w="2498"/>
            <w:vAlign w:val="center"/>
          </w:tcPr>
          <w:p>
            <w:r>
              <w:t>Dr Alfred Ang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update field in Microsoft Word if page numbers are not visible.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997"/>
          </w:tcPr>
          <w:p>
            <w:r>
              <w:t>Advanced Transactional Accounting with QuickBooks Online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997"/>
          </w:tcPr>
          <w:p>
            <w:r>
              <w:t>TGS-2023018989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TSC</w:t>
            </w:r>
          </w:p>
        </w:tc>
        <w:tc>
          <w:tcPr>
            <w:tcW w:type="dxa" w:w="4997"/>
          </w:tcPr>
          <w:p>
            <w:r>
              <w:t>Transactional Accounting · ACC-CRP-4009-1.1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2 days · 16 hours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997"/>
          </w:tcPr>
          <w:p>
            <w:r>
              <w:t>9:00 am–6:00 pm; 1-hour lunch; short breaks within scheduled learning time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4997"/>
          </w:tcPr>
          <w:p>
            <w:r>
              <w:t>Day 2, 4:00–6:00 pm: WA 1 hour + PP 1 hour, open book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Trainer</w:t>
            </w:r>
          </w:p>
        </w:tc>
        <w:tc>
          <w:tcPr>
            <w:tcW w:type="dxa" w:w="4997"/>
          </w:tcPr>
          <w:p>
            <w: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Perform advanced transactional accounting and double-entry accounting in a controlled QuickBooks Online workflow.</w:t>
      </w:r>
    </w:p>
    <w:p>
      <w:pPr>
        <w:pStyle w:val="ListBullet"/>
        <w:spacing w:after="60"/>
      </w:pPr>
      <w:r>
        <w:t>LO2: Produce accurate financial statements, supporting schedules, and management reports from validated accounting data.</w:t>
      </w:r>
    </w:p>
    <w:p>
      <w:pPr>
        <w:pStyle w:val="ListBullet"/>
        <w:spacing w:after="60"/>
      </w:pPr>
      <w:r>
        <w:t>LO3: Determine and communicate how reporting standards and accounting judgements affect financial information.</w:t>
      </w:r>
    </w:p>
    <w:p>
      <w:pPr>
        <w:pStyle w:val="Heading1"/>
      </w:pPr>
      <w:r>
        <w:t>Assessment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Course evidence</w:t>
            </w:r>
          </w:p>
        </w:tc>
      </w:tr>
      <w:tr>
        <w:tc>
          <w:tcPr>
            <w:tcW w:type="dxa" w:w="2498"/>
          </w:tcPr>
          <w:p>
            <w:r>
              <w:t>WA (SAQ)</w:t>
            </w:r>
          </w:p>
        </w:tc>
        <w:tc>
          <w:tcPr>
            <w:tcW w:type="dxa" w:w="2498"/>
          </w:tcPr>
          <w:p>
            <w:r>
              <w:t>1 hour</w:t>
            </w:r>
          </w:p>
        </w:tc>
        <w:tc>
          <w:tcPr>
            <w:tcW w:type="dxa" w:w="2498"/>
          </w:tcPr>
          <w:p>
            <w:r>
              <w:t>K1, K2, K3</w:t>
            </w:r>
          </w:p>
        </w:tc>
        <w:tc>
          <w:tcPr>
            <w:tcW w:type="dxa" w:w="2498"/>
          </w:tcPr>
          <w:p>
            <w:r>
              <w:t>Slides, LG modules, Activities 1–12</w:t>
            </w:r>
          </w:p>
        </w:tc>
      </w:tr>
      <w:tr>
        <w:tc>
          <w:tcPr>
            <w:tcW w:type="dxa" w:w="2498"/>
          </w:tcPr>
          <w:p>
            <w:r>
              <w:t>PP</w:t>
            </w:r>
          </w:p>
        </w:tc>
        <w:tc>
          <w:tcPr>
            <w:tcW w:type="dxa" w:w="2498"/>
          </w:tcPr>
          <w:p>
            <w:r>
              <w:t>1 hour</w:t>
            </w:r>
          </w:p>
        </w:tc>
        <w:tc>
          <w:tcPr>
            <w:tcW w:type="dxa" w:w="2498"/>
          </w:tcPr>
          <w:p>
            <w:r>
              <w:t>A1, A2, A3, A4</w:t>
            </w:r>
          </w:p>
        </w:tc>
        <w:tc>
          <w:tcPr>
            <w:tcW w:type="dxa" w:w="2498"/>
          </w:tcPr>
          <w:p>
            <w:r>
              <w:t>Activities 2, 7, 8, 10, 12</w:t>
            </w:r>
          </w:p>
        </w:tc>
      </w:tr>
    </w:tbl>
    <w:p>
      <w:pPr>
        <w:pStyle w:val="Heading1"/>
      </w:pPr>
      <w:r>
        <w:t>Detailed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Learning / facilitation activity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c>
          <w:tcPr>
            <w:tcW w:type="dxa" w:w="2498"/>
            <w:shd w:fill="E8F7EE"/>
          </w:tcPr>
          <w:p>
            <w:r>
              <w:t>09:00–09:30</w:t>
            </w:r>
          </w:p>
        </w:tc>
        <w:tc>
          <w:tcPr>
            <w:tcW w:type="dxa" w:w="2498"/>
            <w:shd w:fill="E8F7EE"/>
          </w:tcPr>
          <w:p>
            <w:r>
              <w:t>30</w:t>
            </w:r>
          </w:p>
        </w:tc>
        <w:tc>
          <w:tcPr>
            <w:tcW w:type="dxa" w:w="2498"/>
            <w:shd w:fill="E8F7EE"/>
          </w:tcPr>
          <w:p>
            <w:r>
              <w:t>Admin, TRAQOM, learning outcomes, assessment briefing and course orientation</w:t>
            </w:r>
          </w:p>
        </w:tc>
        <w:tc>
          <w:tcPr>
            <w:tcW w:type="dxa" w:w="2498"/>
            <w:shd w:fill="E8F7EE"/>
          </w:tcPr>
          <w:p>
            <w:r>
              <w:t>1–15</w:t>
            </w:r>
          </w:p>
        </w:tc>
      </w:tr>
      <w:tr>
        <w:tc>
          <w:tcPr>
            <w:tcW w:type="dxa" w:w="2498"/>
          </w:tcPr>
          <w:p>
            <w:r>
              <w:t>09:30–10:30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Topic 1: prerequisite bridge, control-ready company file, event-to-entry reasoning</w:t>
            </w:r>
          </w:p>
        </w:tc>
        <w:tc>
          <w:tcPr>
            <w:tcW w:type="dxa" w:w="2498"/>
          </w:tcPr>
          <w:p>
            <w:r>
              <w:t>18–27</w:t>
            </w:r>
          </w:p>
        </w:tc>
      </w:tr>
      <w:tr>
        <w:tc>
          <w:tcPr>
            <w:tcW w:type="dxa" w:w="2498"/>
            <w:shd w:fill="FFF2CC"/>
          </w:tcPr>
          <w:p>
            <w:r>
              <w:t>10:30–10:40</w:t>
            </w:r>
          </w:p>
        </w:tc>
        <w:tc>
          <w:tcPr>
            <w:tcW w:type="dxa" w:w="2498"/>
            <w:shd w:fill="FFF2CC"/>
          </w:tcPr>
          <w:p>
            <w:r>
              <w:t>10</w:t>
            </w:r>
          </w:p>
        </w:tc>
        <w:tc>
          <w:tcPr>
            <w:tcW w:type="dxa" w:w="2498"/>
            <w:shd w:fill="FFF2CC"/>
          </w:tcPr>
          <w:p>
            <w:r>
              <w:t>Morning break</w:t>
            </w:r>
          </w:p>
        </w:tc>
        <w:tc>
          <w:tcPr>
            <w:tcW w:type="dxa" w:w="2498"/>
            <w:shd w:fill="FFF2CC"/>
          </w:tcPr>
          <w:p>
            <w:r/>
          </w:p>
        </w:tc>
      </w:tr>
      <w:tr>
        <w:tc>
          <w:tcPr>
            <w:tcW w:type="dxa" w:w="2498"/>
          </w:tcPr>
          <w:p>
            <w:r>
              <w:t>10:40–12:00</w:t>
            </w:r>
          </w:p>
        </w:tc>
        <w:tc>
          <w:tcPr>
            <w:tcW w:type="dxa" w:w="2498"/>
          </w:tcPr>
          <w:p>
            <w:r>
              <w:t>80</w:t>
            </w:r>
          </w:p>
        </w:tc>
        <w:tc>
          <w:tcPr>
            <w:tcW w:type="dxa" w:w="2498"/>
          </w:tcPr>
          <w:p>
            <w:r>
              <w:t>Advanced order-to-cash, returns/credits/refunds, procure-to-pay</w:t>
            </w:r>
          </w:p>
        </w:tc>
        <w:tc>
          <w:tcPr>
            <w:tcW w:type="dxa" w:w="2498"/>
          </w:tcPr>
          <w:p>
            <w:r>
              <w:t>Topic 1 range</w:t>
            </w:r>
          </w:p>
        </w:tc>
      </w:tr>
      <w:tr>
        <w:tc>
          <w:tcPr>
            <w:tcW w:type="dxa" w:w="2498"/>
          </w:tcPr>
          <w:p>
            <w:r>
              <w:t>12:00–13:00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Activities 1–3: master data, order-to-cash, procure-to-pay</w:t>
            </w:r>
          </w:p>
        </w:tc>
        <w:tc>
          <w:tcPr>
            <w:tcW w:type="dxa" w:w="2498"/>
          </w:tcPr>
          <w:p>
            <w:r>
              <w:t>52–57</w:t>
            </w:r>
          </w:p>
        </w:tc>
      </w:tr>
      <w:tr>
        <w:tc>
          <w:tcPr>
            <w:tcW w:type="dxa" w:w="2498"/>
          </w:tcPr>
          <w:p>
            <w:r>
              <w:t>13:00–14:00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Lunch</w:t>
            </w:r>
          </w:p>
        </w:tc>
        <w:tc>
          <w:tcPr>
            <w:tcW w:type="dxa" w:w="2498"/>
          </w:tcPr>
          <w:p>
            <w:r/>
          </w:p>
        </w:tc>
      </w:tr>
      <w:tr>
        <w:tc>
          <w:tcPr>
            <w:tcW w:type="dxa" w:w="2498"/>
          </w:tcPr>
          <w:p>
            <w:r>
              <w:t>14:00–15:20</w:t>
            </w:r>
          </w:p>
        </w:tc>
        <w:tc>
          <w:tcPr>
            <w:tcW w:type="dxa" w:w="2498"/>
          </w:tcPr>
          <w:p>
            <w:r>
              <w:t>80</w:t>
            </w:r>
          </w:p>
        </w:tc>
        <w:tc>
          <w:tcPr>
            <w:tcW w:type="dxa" w:w="2498"/>
          </w:tcPr>
          <w:p>
            <w:r>
              <w:t>Recurring transactions, inventory, projects, time and billable costs</w:t>
            </w:r>
          </w:p>
        </w:tc>
        <w:tc>
          <w:tcPr>
            <w:tcW w:type="dxa" w:w="2498"/>
          </w:tcPr>
          <w:p>
            <w:r>
              <w:t>Topic 1 range</w:t>
            </w:r>
          </w:p>
        </w:tc>
      </w:tr>
      <w:tr>
        <w:tc>
          <w:tcPr>
            <w:tcW w:type="dxa" w:w="2498"/>
            <w:shd w:fill="FFF2CC"/>
          </w:tcPr>
          <w:p>
            <w:r>
              <w:t>15:20–15:30</w:t>
            </w:r>
          </w:p>
        </w:tc>
        <w:tc>
          <w:tcPr>
            <w:tcW w:type="dxa" w:w="2498"/>
            <w:shd w:fill="FFF2CC"/>
          </w:tcPr>
          <w:p>
            <w:r>
              <w:t>10</w:t>
            </w:r>
          </w:p>
        </w:tc>
        <w:tc>
          <w:tcPr>
            <w:tcW w:type="dxa" w:w="2498"/>
            <w:shd w:fill="FFF2CC"/>
          </w:tcPr>
          <w:p>
            <w:r>
              <w:t>Afternoon break</w:t>
            </w:r>
          </w:p>
        </w:tc>
        <w:tc>
          <w:tcPr>
            <w:tcW w:type="dxa" w:w="2498"/>
            <w:shd w:fill="FFF2CC"/>
          </w:tcPr>
          <w:p>
            <w:r/>
          </w:p>
        </w:tc>
      </w:tr>
      <w:tr>
        <w:tc>
          <w:tcPr>
            <w:tcW w:type="dxa" w:w="2498"/>
          </w:tcPr>
          <w:p>
            <w:r>
              <w:t>15:30–16:30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Activities 4–5: inventory and project profitability</w:t>
            </w:r>
          </w:p>
        </w:tc>
        <w:tc>
          <w:tcPr>
            <w:tcW w:type="dxa" w:w="2498"/>
          </w:tcPr>
          <w:p>
            <w:r>
              <w:t>58–61</w:t>
            </w:r>
          </w:p>
        </w:tc>
      </w:tr>
      <w:tr>
        <w:tc>
          <w:tcPr>
            <w:tcW w:type="dxa" w:w="2498"/>
          </w:tcPr>
          <w:p>
            <w:r>
              <w:t>16:30–17:25</w:t>
            </w:r>
          </w:p>
        </w:tc>
        <w:tc>
          <w:tcPr>
            <w:tcW w:type="dxa" w:w="2498"/>
          </w:tcPr>
          <w:p>
            <w:r>
              <w:t>55</w:t>
            </w:r>
          </w:p>
        </w:tc>
        <w:tc>
          <w:tcPr>
            <w:tcW w:type="dxa" w:w="2498"/>
          </w:tcPr>
          <w:p>
            <w:r>
              <w:t>Bank rules, reconciliation, month-end adjustments</w:t>
            </w:r>
          </w:p>
        </w:tc>
        <w:tc>
          <w:tcPr>
            <w:tcW w:type="dxa" w:w="2498"/>
          </w:tcPr>
          <w:p>
            <w:r>
              <w:t>Topic 1 range</w:t>
            </w:r>
          </w:p>
        </w:tc>
      </w:tr>
      <w:tr>
        <w:tc>
          <w:tcPr>
            <w:tcW w:type="dxa" w:w="2498"/>
          </w:tcPr>
          <w:p>
            <w:r>
              <w:t>17:25–18:00</w:t>
            </w:r>
          </w:p>
        </w:tc>
        <w:tc>
          <w:tcPr>
            <w:tcW w:type="dxa" w:w="2498"/>
          </w:tcPr>
          <w:p>
            <w:r>
              <w:t>35</w:t>
            </w:r>
          </w:p>
        </w:tc>
        <w:tc>
          <w:tcPr>
            <w:tcW w:type="dxa" w:w="2498"/>
          </w:tcPr>
          <w:p>
            <w:r>
              <w:t>Close/audit controls; Activities 6–9 briefing; recap and PM attendance</w:t>
            </w:r>
          </w:p>
        </w:tc>
        <w:tc>
          <w:tcPr>
            <w:tcW w:type="dxa" w:w="2498"/>
          </w:tcPr>
          <w:p>
            <w:r>
              <w:t>62–70</w:t>
            </w:r>
          </w:p>
        </w:tc>
      </w:tr>
    </w:tbl>
    <w:p>
      <w:r>
        <w:rPr>
          <w:b/>
        </w:rPr>
        <w:t>Scheduled non-lunch time: 480 minutes (8 hours).</w:t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Learning / facilitation activity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c>
          <w:tcPr>
            <w:tcW w:type="dxa" w:w="2498"/>
          </w:tcPr>
          <w:p>
            <w:r>
              <w:t>09:00–09:15</w:t>
            </w:r>
          </w:p>
        </w:tc>
        <w:tc>
          <w:tcPr>
            <w:tcW w:type="dxa" w:w="2498"/>
          </w:tcPr>
          <w:p>
            <w:r>
              <w:t>15</w:t>
            </w:r>
          </w:p>
        </w:tc>
        <w:tc>
          <w:tcPr>
            <w:tcW w:type="dxa" w:w="2498"/>
          </w:tcPr>
          <w:p>
            <w:r>
              <w:t>AM digital attendance and Day 1 recap</w:t>
            </w:r>
          </w:p>
        </w:tc>
        <w:tc>
          <w:tcPr>
            <w:tcW w:type="dxa" w:w="2498"/>
          </w:tcPr>
          <w:p>
            <w:r>
              <w:t>Admin / recap</w:t>
            </w:r>
          </w:p>
        </w:tc>
      </w:tr>
      <w:tr>
        <w:tc>
          <w:tcPr>
            <w:tcW w:type="dxa" w:w="2498"/>
          </w:tcPr>
          <w:p>
            <w:r>
              <w:t>09:15–10:30</w:t>
            </w:r>
          </w:p>
        </w:tc>
        <w:tc>
          <w:tcPr>
            <w:tcW w:type="dxa" w:w="2498"/>
          </w:tcPr>
          <w:p>
            <w:r>
              <w:t>75</w:t>
            </w:r>
          </w:p>
        </w:tc>
        <w:tc>
          <w:tcPr>
            <w:tcW w:type="dxa" w:w="2498"/>
          </w:tcPr>
          <w:p>
            <w:r>
              <w:t>Topic 2: statement architecture, subledger ties, dimensions, custom reporting</w:t>
            </w:r>
          </w:p>
        </w:tc>
        <w:tc>
          <w:tcPr>
            <w:tcW w:type="dxa" w:w="2498"/>
          </w:tcPr>
          <w:p>
            <w:r>
              <w:t>72–86</w:t>
            </w:r>
          </w:p>
        </w:tc>
      </w:tr>
      <w:tr>
        <w:tc>
          <w:tcPr>
            <w:tcW w:type="dxa" w:w="2498"/>
            <w:shd w:fill="FFF2CC"/>
          </w:tcPr>
          <w:p>
            <w:r>
              <w:t>10:30–10:40</w:t>
            </w:r>
          </w:p>
        </w:tc>
        <w:tc>
          <w:tcPr>
            <w:tcW w:type="dxa" w:w="2498"/>
            <w:shd w:fill="FFF2CC"/>
          </w:tcPr>
          <w:p>
            <w:r>
              <w:t>10</w:t>
            </w:r>
          </w:p>
        </w:tc>
        <w:tc>
          <w:tcPr>
            <w:tcW w:type="dxa" w:w="2498"/>
            <w:shd w:fill="FFF2CC"/>
          </w:tcPr>
          <w:p>
            <w:r>
              <w:t>Morning break</w:t>
            </w:r>
          </w:p>
        </w:tc>
        <w:tc>
          <w:tcPr>
            <w:tcW w:type="dxa" w:w="2498"/>
            <w:shd w:fill="FFF2CC"/>
          </w:tcPr>
          <w:p>
            <w:r/>
          </w:p>
        </w:tc>
      </w:tr>
      <w:tr>
        <w:tc>
          <w:tcPr>
            <w:tcW w:type="dxa" w:w="2498"/>
          </w:tcPr>
          <w:p>
            <w:r>
              <w:t>10:40–12:00</w:t>
            </w:r>
          </w:p>
        </w:tc>
        <w:tc>
          <w:tcPr>
            <w:tcW w:type="dxa" w:w="2498"/>
          </w:tcPr>
          <w:p>
            <w:r>
              <w:t>80</w:t>
            </w:r>
          </w:p>
        </w:tc>
        <w:tc>
          <w:tcPr>
            <w:tcW w:type="dxa" w:w="2498"/>
          </w:tcPr>
          <w:p>
            <w:r>
              <w:t>Ageing, profitability, variance, cash flow, GST, management report pack</w:t>
            </w:r>
          </w:p>
        </w:tc>
        <w:tc>
          <w:tcPr>
            <w:tcW w:type="dxa" w:w="2498"/>
          </w:tcPr>
          <w:p>
            <w:r>
              <w:t>Topic 2 range</w:t>
            </w:r>
          </w:p>
        </w:tc>
      </w:tr>
      <w:tr>
        <w:tc>
          <w:tcPr>
            <w:tcW w:type="dxa" w:w="2498"/>
          </w:tcPr>
          <w:p>
            <w:r>
              <w:t>12:00–13:00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Activities 10–11: reconciled reporting pack and GST control</w:t>
            </w:r>
          </w:p>
        </w:tc>
        <w:tc>
          <w:tcPr>
            <w:tcW w:type="dxa" w:w="2498"/>
          </w:tcPr>
          <w:p>
            <w:r>
              <w:t>99–102</w:t>
            </w:r>
          </w:p>
        </w:tc>
      </w:tr>
      <w:tr>
        <w:tc>
          <w:tcPr>
            <w:tcW w:type="dxa" w:w="2498"/>
          </w:tcPr>
          <w:p>
            <w:r>
              <w:t>13:00–14:00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Lunch</w:t>
            </w:r>
          </w:p>
        </w:tc>
        <w:tc>
          <w:tcPr>
            <w:tcW w:type="dxa" w:w="2498"/>
          </w:tcPr>
          <w:p>
            <w:r/>
          </w:p>
        </w:tc>
      </w:tr>
      <w:tr>
        <w:tc>
          <w:tcPr>
            <w:tcW w:type="dxa" w:w="2498"/>
          </w:tcPr>
          <w:p>
            <w:r>
              <w:t>14:00–14:55</w:t>
            </w:r>
          </w:p>
        </w:tc>
        <w:tc>
          <w:tcPr>
            <w:tcW w:type="dxa" w:w="2498"/>
          </w:tcPr>
          <w:p>
            <w:r>
              <w:t>55</w:t>
            </w:r>
          </w:p>
        </w:tc>
        <w:tc>
          <w:tcPr>
            <w:tcW w:type="dxa" w:w="2498"/>
          </w:tcPr>
          <w:p>
            <w:r>
              <w:t>Topic 3: applicable framework, accrual, revenue, inventory, PPE, FX</w:t>
            </w:r>
          </w:p>
        </w:tc>
        <w:tc>
          <w:tcPr>
            <w:tcW w:type="dxa" w:w="2498"/>
          </w:tcPr>
          <w:p>
            <w:r>
              <w:t>105–122</w:t>
            </w:r>
          </w:p>
        </w:tc>
      </w:tr>
      <w:tr>
        <w:tc>
          <w:tcPr>
            <w:tcW w:type="dxa" w:w="2498"/>
            <w:shd w:fill="FFF2CC"/>
          </w:tcPr>
          <w:p>
            <w:r>
              <w:t>14:55–15:05</w:t>
            </w:r>
          </w:p>
        </w:tc>
        <w:tc>
          <w:tcPr>
            <w:tcW w:type="dxa" w:w="2498"/>
            <w:shd w:fill="FFF2CC"/>
          </w:tcPr>
          <w:p>
            <w:r>
              <w:t>10</w:t>
            </w:r>
          </w:p>
        </w:tc>
        <w:tc>
          <w:tcPr>
            <w:tcW w:type="dxa" w:w="2498"/>
            <w:shd w:fill="FFF2CC"/>
          </w:tcPr>
          <w:p>
            <w:r>
              <w:t>Afternoon break</w:t>
            </w:r>
          </w:p>
        </w:tc>
        <w:tc>
          <w:tcPr>
            <w:tcW w:type="dxa" w:w="2498"/>
            <w:shd w:fill="FFF2CC"/>
          </w:tcPr>
          <w:p>
            <w:r/>
          </w:p>
        </w:tc>
      </w:tr>
      <w:tr>
        <w:tc>
          <w:tcPr>
            <w:tcW w:type="dxa" w:w="2498"/>
          </w:tcPr>
          <w:p>
            <w:r>
              <w:t>15:05–15:45</w:t>
            </w:r>
          </w:p>
        </w:tc>
        <w:tc>
          <w:tcPr>
            <w:tcW w:type="dxa" w:w="2498"/>
          </w:tcPr>
          <w:p>
            <w:r>
              <w:t>40</w:t>
            </w:r>
          </w:p>
        </w:tc>
        <w:tc>
          <w:tcPr>
            <w:tcW w:type="dxa" w:w="2498"/>
          </w:tcPr>
          <w:p>
            <w:r>
              <w:t>Estimates/errors/policy changes, qualitative characteristics, system-to-standard bridge, Activity 12 capstone</w:t>
            </w:r>
          </w:p>
        </w:tc>
        <w:tc>
          <w:tcPr>
            <w:tcW w:type="dxa" w:w="2498"/>
          </w:tcPr>
          <w:p>
            <w:r>
              <w:t>130–132</w:t>
            </w:r>
          </w:p>
        </w:tc>
      </w:tr>
      <w:tr>
        <w:tc>
          <w:tcPr>
            <w:tcW w:type="dxa" w:w="2498"/>
            <w:shd w:fill="E8F7EE"/>
          </w:tcPr>
          <w:p>
            <w:r>
              <w:t>15:45–16:00</w:t>
            </w:r>
          </w:p>
        </w:tc>
        <w:tc>
          <w:tcPr>
            <w:tcW w:type="dxa" w:w="2498"/>
            <w:shd w:fill="E8F7EE"/>
          </w:tcPr>
          <w:p>
            <w:r>
              <w:t>15</w:t>
            </w:r>
          </w:p>
        </w:tc>
        <w:tc>
          <w:tcPr>
            <w:tcW w:type="dxa" w:w="2498"/>
            <w:shd w:fill="E8F7EE"/>
          </w:tcPr>
          <w:p>
            <w:r>
              <w:t>Consolidation, assessment briefing and assessment digital attendance</w:t>
            </w:r>
          </w:p>
        </w:tc>
        <w:tc>
          <w:tcPr>
            <w:tcW w:type="dxa" w:w="2498"/>
            <w:shd w:fill="E8F7EE"/>
          </w:tcPr>
          <w:p>
            <w:r>
              <w:t>Closing admin block</w:t>
            </w:r>
          </w:p>
        </w:tc>
      </w:tr>
      <w:tr>
        <w:tc>
          <w:tcPr>
            <w:tcW w:type="dxa" w:w="2498"/>
            <w:shd w:fill="E8F7EE"/>
          </w:tcPr>
          <w:p>
            <w:r>
              <w:t>16:00–17:00</w:t>
            </w:r>
          </w:p>
        </w:tc>
        <w:tc>
          <w:tcPr>
            <w:tcW w:type="dxa" w:w="2498"/>
            <w:shd w:fill="E8F7EE"/>
          </w:tcPr>
          <w:p>
            <w:r>
              <w:t>60</w:t>
            </w:r>
          </w:p>
        </w:tc>
        <w:tc>
          <w:tcPr>
            <w:tcW w:type="dxa" w:w="2498"/>
            <w:shd w:fill="E8F7EE"/>
          </w:tcPr>
          <w:p>
            <w:r>
              <w:t>Written Assessment (SAQ) · 3 open-ended questions · K1–K3 · open book</w:t>
            </w:r>
          </w:p>
        </w:tc>
        <w:tc>
          <w:tcPr>
            <w:tcW w:type="dxa" w:w="2498"/>
            <w:shd w:fill="E8F7EE"/>
          </w:tcPr>
          <w:p>
            <w:r>
              <w:t>Assessment</w:t>
            </w:r>
          </w:p>
        </w:tc>
      </w:tr>
      <w:tr>
        <w:tc>
          <w:tcPr>
            <w:tcW w:type="dxa" w:w="2498"/>
          </w:tcPr>
          <w:p>
            <w:r>
              <w:t>17:00–18:00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Practical Performance · 3 tasks · A1–A4 · open book · submission and sign-off</w:t>
            </w:r>
          </w:p>
        </w:tc>
        <w:tc>
          <w:tcPr>
            <w:tcW w:type="dxa" w:w="2498"/>
          </w:tcPr>
          <w:p>
            <w:r>
              <w:t>Assessment</w:t>
            </w:r>
          </w:p>
        </w:tc>
      </w:tr>
    </w:tbl>
    <w:p>
      <w:r>
        <w:rPr>
          <w:b/>
        </w:rPr>
        <w:t>Scheduled non-lunch time: 480 minutes (8 hours).</w:t>
      </w:r>
    </w:p>
    <w:p>
      <w:pPr>
        <w:pStyle w:val="Heading1"/>
      </w:pPr>
      <w:r>
        <w:t>Activity and Criteria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F6FE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999"/>
            <w:shd w:fill="1F6FEB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1999"/>
            <w:shd w:fill="1F6FEB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1999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  <w:tc>
          <w:tcPr>
            <w:tcW w:type="dxa" w:w="1999"/>
            <w:shd w:fill="1F6FEB"/>
          </w:tcPr>
          <w:p>
            <w:r>
              <w:rPr>
                <w:b/>
                <w:color w:val="FFFFFF"/>
              </w:rPr>
              <w:t>Primary output</w:t>
            </w:r>
          </w:p>
        </w:tc>
      </w:tr>
      <w:tr>
        <w:tc>
          <w:tcPr>
            <w:tcW w:type="dxa" w:w="1999"/>
          </w:tcPr>
          <w:p>
            <w:r>
              <w:t>01 · Design a Control-Ready Company File</w:t>
            </w:r>
          </w:p>
        </w:tc>
        <w:tc>
          <w:tcPr>
            <w:tcW w:type="dxa" w:w="1999"/>
          </w:tcPr>
          <w:p>
            <w:r>
              <w:t>Foundation bridge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52–53</w:t>
            </w:r>
          </w:p>
        </w:tc>
        <w:tc>
          <w:tcPr>
            <w:tcW w:type="dxa" w:w="1999"/>
          </w:tcPr>
          <w:p>
            <w:r>
              <w:t>Approved account-mapping workbook</w:t>
            </w:r>
          </w:p>
        </w:tc>
      </w:tr>
      <w:tr>
        <w:tc>
          <w:tcPr>
            <w:tcW w:type="dxa" w:w="1999"/>
          </w:tcPr>
          <w:p>
            <w:r>
              <w:t>02 · Run an Advanced Order-to-Cash Cycle</w:t>
            </w:r>
          </w:p>
        </w:tc>
        <w:tc>
          <w:tcPr>
            <w:tcW w:type="dxa" w:w="1999"/>
          </w:tcPr>
          <w:p>
            <w:r>
              <w:t>Intermediate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54–55</w:t>
            </w:r>
          </w:p>
        </w:tc>
        <w:tc>
          <w:tcPr>
            <w:tcW w:type="dxa" w:w="1999"/>
          </w:tcPr>
          <w:p>
            <w:r>
              <w:t>Linked estimate/deposit/invoices/receipt/credit/refund evidence</w:t>
            </w:r>
          </w:p>
        </w:tc>
      </w:tr>
      <w:tr>
        <w:tc>
          <w:tcPr>
            <w:tcW w:type="dxa" w:w="1999"/>
          </w:tcPr>
          <w:p>
            <w:r>
              <w:t>03 · Control Procure-to-Pay and Supplier Exceptions</w:t>
            </w:r>
          </w:p>
        </w:tc>
        <w:tc>
          <w:tcPr>
            <w:tcW w:type="dxa" w:w="1999"/>
          </w:tcPr>
          <w:p>
            <w:r>
              <w:t>Intermediate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56–57</w:t>
            </w:r>
          </w:p>
        </w:tc>
        <w:tc>
          <w:tcPr>
            <w:tcW w:type="dxa" w:w="1999"/>
          </w:tcPr>
          <w:p>
            <w:r>
              <w:t>PO/bill/bill-credit/payment evidence</w:t>
            </w:r>
          </w:p>
        </w:tc>
      </w:tr>
      <w:tr>
        <w:tc>
          <w:tcPr>
            <w:tcW w:type="dxa" w:w="1999"/>
          </w:tcPr>
          <w:p>
            <w:r>
              <w:t>04 · Reconcile Inventory Quantity and Value</w:t>
            </w:r>
          </w:p>
        </w:tc>
        <w:tc>
          <w:tcPr>
            <w:tcW w:type="dxa" w:w="1999"/>
          </w:tcPr>
          <w:p>
            <w:r>
              <w:t>Intermediate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58–59</w:t>
            </w:r>
          </w:p>
        </w:tc>
        <w:tc>
          <w:tcPr>
            <w:tcW w:type="dxa" w:w="1999"/>
          </w:tcPr>
          <w:p>
            <w:r>
              <w:t>Inventory import/review file</w:t>
            </w:r>
          </w:p>
        </w:tc>
      </w:tr>
      <w:tr>
        <w:tc>
          <w:tcPr>
            <w:tcW w:type="dxa" w:w="1999"/>
          </w:tcPr>
          <w:p>
            <w:r>
              <w:t>05 · Measure Project Profitability and Billing Leakage</w:t>
            </w:r>
          </w:p>
        </w:tc>
        <w:tc>
          <w:tcPr>
            <w:tcW w:type="dxa" w:w="1999"/>
          </w:tcPr>
          <w:p>
            <w:r>
              <w:t>Advanced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60–61</w:t>
            </w:r>
          </w:p>
        </w:tc>
        <w:tc>
          <w:tcPr>
            <w:tcW w:type="dxa" w:w="1999"/>
          </w:tcPr>
          <w:p>
            <w:r>
              <w:t>Project setup and transactions</w:t>
            </w:r>
          </w:p>
        </w:tc>
      </w:tr>
      <w:tr>
        <w:tc>
          <w:tcPr>
            <w:tcW w:type="dxa" w:w="1999"/>
          </w:tcPr>
          <w:p>
            <w:r>
              <w:t>06 · Engineer Bank Rules and Feed Exceptions</w:t>
            </w:r>
          </w:p>
        </w:tc>
        <w:tc>
          <w:tcPr>
            <w:tcW w:type="dxa" w:w="1999"/>
          </w:tcPr>
          <w:p>
            <w:r>
              <w:t>Advanced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62–63</w:t>
            </w:r>
          </w:p>
        </w:tc>
        <w:tc>
          <w:tcPr>
            <w:tcW w:type="dxa" w:w="1999"/>
          </w:tcPr>
          <w:p>
            <w:r>
              <w:t>Reviewed bank-feed classification</w:t>
            </w:r>
          </w:p>
        </w:tc>
      </w:tr>
      <w:tr>
        <w:tc>
          <w:tcPr>
            <w:tcW w:type="dxa" w:w="1999"/>
          </w:tcPr>
          <w:p>
            <w:r>
              <w:t>07 · Resolve a Bank and Credit-Card Reconciliation</w:t>
            </w:r>
          </w:p>
        </w:tc>
        <w:tc>
          <w:tcPr>
            <w:tcW w:type="dxa" w:w="1999"/>
          </w:tcPr>
          <w:p>
            <w:r>
              <w:t>Advanced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64–65</w:t>
            </w:r>
          </w:p>
        </w:tc>
        <w:tc>
          <w:tcPr>
            <w:tcW w:type="dxa" w:w="1999"/>
          </w:tcPr>
          <w:p>
            <w:r>
              <w:t>Reconciliation workpaper</w:t>
            </w:r>
          </w:p>
        </w:tc>
      </w:tr>
      <w:tr>
        <w:tc>
          <w:tcPr>
            <w:tcW w:type="dxa" w:w="1999"/>
          </w:tcPr>
          <w:p>
            <w:r>
              <w:t>08 · Post and Reverse Month-End Adjustments</w:t>
            </w:r>
          </w:p>
        </w:tc>
        <w:tc>
          <w:tcPr>
            <w:tcW w:type="dxa" w:w="1999"/>
          </w:tcPr>
          <w:p>
            <w:r>
              <w:t>Advanced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66–67</w:t>
            </w:r>
          </w:p>
        </w:tc>
        <w:tc>
          <w:tcPr>
            <w:tcW w:type="dxa" w:w="1999"/>
          </w:tcPr>
          <w:p>
            <w:r>
              <w:t>Adjustment calculations</w:t>
            </w:r>
          </w:p>
        </w:tc>
      </w:tr>
      <w:tr>
        <w:tc>
          <w:tcPr>
            <w:tcW w:type="dxa" w:w="1999"/>
          </w:tcPr>
          <w:p>
            <w:r>
              <w:t>09 · Investigate Audit Log and Close-Control Breaches</w:t>
            </w:r>
          </w:p>
        </w:tc>
        <w:tc>
          <w:tcPr>
            <w:tcW w:type="dxa" w:w="1999"/>
          </w:tcPr>
          <w:p>
            <w:r>
              <w:t>Advanced</w:t>
            </w:r>
          </w:p>
        </w:tc>
        <w:tc>
          <w:tcPr>
            <w:tcW w:type="dxa" w:w="1999"/>
          </w:tcPr>
          <w:p>
            <w:r>
              <w:t>K1, A1</w:t>
            </w:r>
          </w:p>
        </w:tc>
        <w:tc>
          <w:tcPr>
            <w:tcW w:type="dxa" w:w="1999"/>
          </w:tcPr>
          <w:p>
            <w:r>
              <w:t>68–69</w:t>
            </w:r>
          </w:p>
        </w:tc>
        <w:tc>
          <w:tcPr>
            <w:tcW w:type="dxa" w:w="1999"/>
          </w:tcPr>
          <w:p>
            <w:r>
              <w:t>Audit-log investigation</w:t>
            </w:r>
          </w:p>
        </w:tc>
      </w:tr>
      <w:tr>
        <w:tc>
          <w:tcPr>
            <w:tcW w:type="dxa" w:w="1999"/>
          </w:tcPr>
          <w:p>
            <w:r>
              <w:t>10 · Build a Reconciled Financial Reporting Pack</w:t>
            </w:r>
          </w:p>
        </w:tc>
        <w:tc>
          <w:tcPr>
            <w:tcW w:type="dxa" w:w="1999"/>
          </w:tcPr>
          <w:p>
            <w:r>
              <w:t>Advanced</w:t>
            </w:r>
          </w:p>
        </w:tc>
        <w:tc>
          <w:tcPr>
            <w:tcW w:type="dxa" w:w="1999"/>
          </w:tcPr>
          <w:p>
            <w:r>
              <w:t>K2, A2, A3</w:t>
            </w:r>
          </w:p>
        </w:tc>
        <w:tc>
          <w:tcPr>
            <w:tcW w:type="dxa" w:w="1999"/>
          </w:tcPr>
          <w:p>
            <w:r>
              <w:t>99–100</w:t>
            </w:r>
          </w:p>
        </w:tc>
        <w:tc>
          <w:tcPr>
            <w:tcW w:type="dxa" w:w="1999"/>
          </w:tcPr>
          <w:p>
            <w:r>
              <w:t>Reconciled P&amp;L, Balance Sheet, and Cash Flow</w:t>
            </w:r>
          </w:p>
        </w:tc>
      </w:tr>
      <w:tr>
        <w:tc>
          <w:tcPr>
            <w:tcW w:type="dxa" w:w="1999"/>
          </w:tcPr>
          <w:p>
            <w:r>
              <w:t>11 · Prepare a GST Control and F5 Working Paper</w:t>
            </w:r>
          </w:p>
        </w:tc>
        <w:tc>
          <w:tcPr>
            <w:tcW w:type="dxa" w:w="1999"/>
          </w:tcPr>
          <w:p>
            <w:r>
              <w:t>Advanced</w:t>
            </w:r>
          </w:p>
        </w:tc>
        <w:tc>
          <w:tcPr>
            <w:tcW w:type="dxa" w:w="1999"/>
          </w:tcPr>
          <w:p>
            <w:r>
              <w:t>K2, A2, A3</w:t>
            </w:r>
          </w:p>
        </w:tc>
        <w:tc>
          <w:tcPr>
            <w:tcW w:type="dxa" w:w="1999"/>
          </w:tcPr>
          <w:p>
            <w:r>
              <w:t>101–102</w:t>
            </w:r>
          </w:p>
        </w:tc>
        <w:tc>
          <w:tcPr>
            <w:tcW w:type="dxa" w:w="1999"/>
          </w:tcPr>
          <w:p>
            <w:r>
              <w:t>GST transaction review</w:t>
            </w:r>
          </w:p>
        </w:tc>
      </w:tr>
      <w:tr>
        <w:tc>
          <w:tcPr>
            <w:tcW w:type="dxa" w:w="1999"/>
          </w:tcPr>
          <w:p>
            <w:r>
              <w:t>12 · Capstone: Translate a Reporting Change into Books and Reports</w:t>
            </w:r>
          </w:p>
        </w:tc>
        <w:tc>
          <w:tcPr>
            <w:tcW w:type="dxa" w:w="1999"/>
          </w:tcPr>
          <w:p>
            <w:r>
              <w:t>Capstone</w:t>
            </w:r>
          </w:p>
        </w:tc>
        <w:tc>
          <w:tcPr>
            <w:tcW w:type="dxa" w:w="1999"/>
          </w:tcPr>
          <w:p>
            <w:r>
              <w:t>K3, A2, A3, A4</w:t>
            </w:r>
          </w:p>
        </w:tc>
        <w:tc>
          <w:tcPr>
            <w:tcW w:type="dxa" w:w="1999"/>
          </w:tcPr>
          <w:p>
            <w:r>
              <w:t>130–131</w:t>
            </w:r>
          </w:p>
        </w:tc>
        <w:tc>
          <w:tcPr>
            <w:tcW w:type="dxa" w:w="1999"/>
          </w:tcPr>
          <w:p>
            <w:r>
              <w:t>Standards impact assessment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© Tertiary Infotech Academy Pte Ltd · TGS-2023018989 · Page </w:t>
    </w:r>
    <w:r/>
    <w:fldSimple w:instr="PAGE"/>
    <w:r>
      <w:t xml:space="preserve"> of </w:t>
    </w:r>
    <w:r/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4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