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Unlocking Business Potential with Strategic Negotiation Tactics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TGS-2023020567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8.0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84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9"/>
              </w:rPr>
              <w:t>8.0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16 August 2026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Rebuilt source-aligned strategic negotiation courseware with ten real-world activity packs and detailed learner procedures.</w:t>
            </w:r>
          </w:p>
        </w:tc>
        <w:tc>
          <w:tcPr>
            <w:tcW w:type="dxa" w:w="2484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Overview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Daily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Prepare the Position and the Team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Apply Tactics, Close and Evaluate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and Activity Breakdown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1 — Preparation for Negotiation · Slides 20–73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2 — Negotiation Tactics · Slides 74–142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Required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8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two-day WSQ course develops the ability to prepare, conduct, close, record and evaluate business negotiations. Ten real-world activities connect concepts to procurement, contracts, partnerships, service recovery and workplace decisions.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Course Code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TGS-2023020567</w:t>
            </w:r>
          </w:p>
        </w:tc>
      </w:tr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TSC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ICT-BIN-3105-1 — Business Negotiation</w:t>
            </w:r>
          </w:p>
        </w:tc>
      </w:tr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Duration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2 days · 16 hours</w:t>
            </w:r>
          </w:p>
        </w:tc>
      </w:tr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Training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14 hours</w:t>
            </w:r>
          </w:p>
        </w:tc>
      </w:tr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Assessment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WA 1 hour + Case Study 1 hour</w:t>
            </w:r>
          </w:p>
        </w:tc>
      </w:tr>
      <w:tr>
        <w:tc>
          <w:tcPr>
            <w:tcW w:type="dxa" w:w="4968"/>
            <w:vAlign w:val="center"/>
            <w:shd w:val="clear" w:color="auto" w:fill="E8F0FE"/>
          </w:tcPr>
          <w:p>
            <w:r/>
            <w:r>
              <w:rPr>
                <w:rFonts w:ascii="Arial" w:hAnsi="Arial"/>
                <w:b/>
                <w:color w:val="111827"/>
                <w:sz w:val="18"/>
              </w:rPr>
              <w:t>Daily Time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8"/>
              </w:rPr>
              <w:t>9:00am–6:00pm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</w:pPr>
      <w:r>
        <w:t>LO1: Identify negotiation outcomes, the context of negotiation and relevant background information required to prepare for negotiation.</w:t>
      </w:r>
    </w:p>
    <w:p>
      <w:pPr>
        <w:pStyle w:val="ListBullet"/>
      </w:pPr>
      <w:r>
        <w:t>LO2: Apply negotiation techniques during negotiation and record negotiations for post-negotiation evaluation.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 — Prepare the Position and the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9:00am–9:30am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30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Welcome, introductions, course outcomes, assessment briefing and AM digital attendance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9:30am–10:30am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60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Topic 1 — negotiation purpose, outcomes, interests, positions and bargaining situations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Slides 20–73</w:t>
            </w:r>
          </w:p>
        </w:tc>
      </w:tr>
      <w:tr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10:30am–10:45am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15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Tea break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Break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10:45am–12:15pm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90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Topic 1 — BATNA, WATNA, reservation point, ZOPA, context, roles and authority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Slides 20–73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12:15pm–1:00pm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45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Activities 1–2 — supplier outcome charter and SaaS negotiation team mandate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A1: 47, A2: 52</w:t>
            </w:r>
          </w:p>
        </w:tc>
      </w:tr>
      <w:tr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1:00pm–2:00pm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60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Lunch break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Lunch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2:00pm–3:30pm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90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Topic 1 — research, objective criteria, priorities, concessions and value creation; Activity 3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Slides 20–73</w:t>
            </w:r>
          </w:p>
        </w:tc>
      </w:tr>
      <w:tr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3:30pm–3:45pm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15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Tea break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Break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3:45pm–5:30pm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105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Topic 1 — social and cultural context, agenda, information and ethics; Activities 4–5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Slides 20–73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5:30pm–6:00pm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30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Day 1 recap, preparation clinic and PM digital attendance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Reflection · Q&amp;A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</w:tbl>
    <w:p>
      <w:r>
        <w:rPr>
          <w:i/>
          <w:color w:val="555B66"/>
        </w:rPr>
        <w:t>Total training/assessment time excluding lunch: 480 minutes (8.0 hours).</w:t>
      </w:r>
    </w:p>
    <w:p>
      <w:r>
        <w:br w:type="page"/>
      </w:r>
    </w:p>
    <w:p>
      <w:pPr>
        <w:pStyle w:val="Heading2"/>
      </w:pPr>
      <w:r>
        <w:t>Day 2 — Apply Tactics, Close and Evaluate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987"/>
            <w:vAlign w:val="center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9:00am–9:15am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Day 1 recap and AM digital attendance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Reflection · Q&amp;A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9:15am–10:30am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75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Topic 2 — opening, first offers, anchoring, framing and evidence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Slides 74–142</w:t>
            </w:r>
          </w:p>
        </w:tc>
      </w:tr>
      <w:tr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10:30am–10:45am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15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Tea break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Break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10:45am–12:15pm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90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Topic 2 — listening, empathy, questions, emotion and difficult behaviours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Slides 74–142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12:15pm–1:00pm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45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Activities 6–7 — agency commercial terms and logistics service recovery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A6: 106, A7: 111</w:t>
            </w:r>
          </w:p>
        </w:tc>
      </w:tr>
      <w:tr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1:00pm–2:00pm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60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Lunch break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Lunch</w:t>
            </w:r>
          </w:p>
        </w:tc>
        <w:tc>
          <w:tcPr>
            <w:tcW w:type="dxa" w:w="1987"/>
            <w:vAlign w:val="center"/>
            <w:shd w:val="clear" w:color="auto" w:fill="FDE9D9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2:00pm–3:15pm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75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Topic 2 — tactics, concessions, impasse and closure; Activities 8–9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Interactive presentation · case study · discussion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Slides 74–142</w:t>
            </w:r>
          </w:p>
        </w:tc>
      </w:tr>
      <w:tr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3:15pm–3:30pm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15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Tea break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Break</w:t>
            </w:r>
          </w:p>
        </w:tc>
        <w:tc>
          <w:tcPr>
            <w:tcW w:type="dxa" w:w="1987"/>
            <w:vAlign w:val="center"/>
            <w:shd w:val="clear" w:color="auto" w:fill="FFF4E5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3:30pm–4:00pm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30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Activity 10 capstone, recording, debrief and assessment readiness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Reflection · Q&amp;A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4:00pm–5:00pm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60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Written Assessment (WA-SAQ), 1 hour, open book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Assessment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—</w:t>
            </w:r>
          </w:p>
        </w:tc>
      </w:tr>
      <w:tr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5:00pm–6:00pm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60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Case Study Assessment (CS), 1 hour, open book; assessment digital attendance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Assessment</w:t>
            </w:r>
          </w:p>
        </w:tc>
        <w:tc>
          <w:tcPr>
            <w:tcW w:type="dxa" w:w="1987"/>
            <w:vAlign w:val="center"/>
            <w:shd w:val="clear" w:color="auto" w:fill="E8F7EE"/>
          </w:tcPr>
          <w:p>
            <w:r/>
            <w:r>
              <w:rPr>
                <w:rFonts w:ascii="Arial" w:hAnsi="Arial"/>
                <w:b/>
                <w:color w:val="111827"/>
                <w:sz w:val="17"/>
              </w:rPr>
              <w:t>—</w:t>
            </w:r>
          </w:p>
        </w:tc>
      </w:tr>
    </w:tbl>
    <w:p>
      <w:r>
        <w:rPr>
          <w:i/>
          <w:color w:val="555B66"/>
        </w:rPr>
        <w:t>Total training/assessment time excluding lunch: 480 minutes (8.0 hours).</w:t>
      </w:r>
    </w:p>
    <w:p>
      <w:pPr>
        <w:pStyle w:val="Heading1"/>
      </w:pPr>
      <w:r>
        <w:t>Topic and Activity Breakdown</w:t>
      </w:r>
    </w:p>
    <w:p>
      <w:pPr>
        <w:pStyle w:val="Heading2"/>
      </w:pPr>
      <w:r>
        <w:t>Topic 1 — Preparation for Negotiation · Slides 20–73</w:t>
      </w:r>
    </w:p>
    <w:p>
      <w:r>
        <w:t>Mapping: K1 · K2 · K3 · A1 · A2 · A3. Outcomes · context · roles · research · BATNA · culture · planning.</w:t>
      </w:r>
    </w:p>
    <w:p>
      <w:pPr>
        <w:pStyle w:val="Heading3"/>
      </w:pPr>
      <w:r>
        <w:t>Activity 1 — Renew a Critical Ingredient Supply Agreement · Slide 47</w:t>
      </w:r>
    </w:p>
    <w:p>
      <w:r>
        <w:t>Act as the procurement team of a Singapore café group renewing a high-volume oat-milk supply agreement after demand growth and freight volatility.</w:t>
      </w:r>
    </w:p>
    <w:p>
      <w:pPr>
        <w:pStyle w:val="ListBullet"/>
      </w:pPr>
      <w:r>
        <w:t>Output: A two-page preparation brief approved by the procurement sponsor.</w:t>
      </w:r>
    </w:p>
    <w:p>
      <w:pPr>
        <w:pStyle w:val="ListBullet"/>
      </w:pPr>
      <w:r>
        <w:t>Acceptance: The brief states an evidence-backed BATNA and reservation point, covers at least five issues, and separates targets from authority limits.</w:t>
      </w:r>
    </w:p>
    <w:p>
      <w:pPr>
        <w:pStyle w:val="Heading3"/>
      </w:pPr>
      <w:r>
        <w:t>Activity 2 — Create a SaaS Renewal Team Mandate · Slide 52</w:t>
      </w:r>
    </w:p>
    <w:p>
      <w:r>
        <w:t>Prepare an internal team to renegotiate a customer-relationship-management platform used by Sales, Service and Finance.</w:t>
      </w:r>
    </w:p>
    <w:p>
      <w:pPr>
        <w:pStyle w:val="ListBullet"/>
      </w:pPr>
      <w:r>
        <w:t>Output: A one-page negotiation mandate plus a named role and escalation table.</w:t>
      </w:r>
    </w:p>
    <w:p>
      <w:pPr>
        <w:pStyle w:val="ListBullet"/>
      </w:pPr>
      <w:r>
        <w:t>Acceptance: Every critical issue has one accountable owner, one decision authority and one escalation route; no participant has conflicting authority.</w:t>
      </w:r>
    </w:p>
    <w:p>
      <w:pPr>
        <w:pStyle w:val="Heading3"/>
      </w:pPr>
      <w:r>
        <w:t>Activity 3 — Prepare a Commercial Lease Renewal · Slide 57</w:t>
      </w:r>
    </w:p>
    <w:p>
      <w:r>
        <w:t>Represent a retail operator renewing a suburban mall lease where rent, fit-out, operating hours and exit flexibility all affect value.</w:t>
      </w:r>
    </w:p>
    <w:p>
      <w:pPr>
        <w:pStyle w:val="ListBullet"/>
      </w:pPr>
      <w:r>
        <w:t>Output: A landlord-ready term-sheet proposal supported by a transparent comparison model.</w:t>
      </w:r>
    </w:p>
    <w:p>
      <w:pPr>
        <w:pStyle w:val="ListBullet"/>
      </w:pPr>
      <w:r>
        <w:t>Acceptance: The proposal compares at least three complete packages on total value and cites adjusted, relevant criteria rather than a single rent number.</w:t>
      </w:r>
    </w:p>
    <w:p>
      <w:pPr>
        <w:pStyle w:val="Heading3"/>
      </w:pPr>
      <w:r>
        <w:t>Activity 4 — Plan a Singapore–Japan Distribution Partnership · Slide 62</w:t>
      </w:r>
    </w:p>
    <w:p>
      <w:r>
        <w:t>Prepare a Singapore health-food producer to meet a Japanese distributor about territory, forecasts, brand control and launch support.</w:t>
      </w:r>
    </w:p>
    <w:p>
      <w:pPr>
        <w:pStyle w:val="ListBullet"/>
      </w:pPr>
      <w:r>
        <w:t>Output: A culturally adaptive negotiation plan that clearly separates verified facts from hypotheses.</w:t>
      </w:r>
    </w:p>
    <w:p>
      <w:pPr>
        <w:pStyle w:val="ListBullet"/>
      </w:pPr>
      <w:r>
        <w:t>Acceptance: The plan contains at least five verification questions, a clear authority path and no unsupported statement that treats culture as destiny.</w:t>
      </w:r>
    </w:p>
    <w:p>
      <w:pPr>
        <w:pStyle w:val="Heading3"/>
      </w:pPr>
      <w:r>
        <w:t>Activity 5 — Design a Total-Reward Job Offer Negotiation · Slide 67</w:t>
      </w:r>
    </w:p>
    <w:p>
      <w:r>
        <w:t>Represent a growing technology SME hiring a regional operations manager where pay, flexibility, scope and start date have different value to each side.</w:t>
      </w:r>
    </w:p>
    <w:p>
      <w:pPr>
        <w:pStyle w:val="ListBullet"/>
      </w:pPr>
      <w:r>
        <w:t>Output: Three authorised total-reward packages with rationale, limits and questions.</w:t>
      </w:r>
    </w:p>
    <w:p>
      <w:pPr>
        <w:pStyle w:val="ListBullet"/>
      </w:pPr>
      <w:r>
        <w:t>Acceptance: All packages remain inside authority, address at least four issues, state objective criteria and avoid discriminatory or intrusive assumptions.</w:t>
      </w:r>
    </w:p>
    <w:p>
      <w:pPr>
        <w:pStyle w:val="Heading2"/>
      </w:pPr>
      <w:r>
        <w:t>Topic 2 — Negotiation Tactics · Slides 74–142</w:t>
      </w:r>
    </w:p>
    <w:p>
      <w:r>
        <w:t>Mapping: K4 · K5 · K6 · A4 · A5. Opening · listening · anchoring · framing · conflict · concessions · closure · evaluation.</w:t>
      </w:r>
    </w:p>
    <w:p>
      <w:pPr>
        <w:pStyle w:val="Heading3"/>
      </w:pPr>
      <w:r>
        <w:t>Activity 6 — Anchor and Frame an Agency Retainer · Slide 106</w:t>
      </w:r>
    </w:p>
    <w:p>
      <w:r>
        <w:t>Represent an SME selecting a digital agency while balancing price, scope, performance evidence and launch speed.</w:t>
      </w:r>
    </w:p>
    <w:p>
      <w:pPr>
        <w:pStyle w:val="ListBullet"/>
      </w:pPr>
      <w:r>
        <w:t>Output: A five-minute opening and a complete commercial package with evidence.</w:t>
      </w:r>
    </w:p>
    <w:p>
      <w:pPr>
        <w:pStyle w:val="ListBullet"/>
      </w:pPr>
      <w:r>
        <w:t>Acceptance: The opening is ambitious but evidence-backed, covers at least six terms and includes no unconditional concession.</w:t>
      </w:r>
    </w:p>
    <w:p>
      <w:pPr>
        <w:pStyle w:val="Heading3"/>
      </w:pPr>
      <w:r>
        <w:t>Activity 7 — Recover a Logistics Service Relationship · Slide 111</w:t>
      </w:r>
    </w:p>
    <w:p>
      <w:r>
        <w:t>Renegotiate a logistics service-level agreement after repeated delivery failures while preserving peak-season capacity.</w:t>
      </w:r>
    </w:p>
    <w:p>
      <w:pPr>
        <w:pStyle w:val="ListBullet"/>
      </w:pPr>
      <w:r>
        <w:t>Output: A structured recovery meeting record and conditional service-improvement agreement.</w:t>
      </w:r>
    </w:p>
    <w:p>
      <w:pPr>
        <w:pStyle w:val="ListBullet"/>
      </w:pPr>
      <w:r>
        <w:t>Acceptance: The record distinguishes fact from blame, captures both parties' interests and assigns measurable reciprocal actions with owners and dates.</w:t>
      </w:r>
    </w:p>
    <w:p>
      <w:pPr>
        <w:pStyle w:val="Heading3"/>
      </w:pPr>
      <w:r>
        <w:t>Activity 8 — Break a Construction Variation Impasse · Slide 116</w:t>
      </w:r>
    </w:p>
    <w:p>
      <w:r>
        <w:t>Facilitate a negotiation between a property owner and contractor over cost and schedule impact from an instructed design variation.</w:t>
      </w:r>
    </w:p>
    <w:p>
      <w:pPr>
        <w:pStyle w:val="ListBullet"/>
      </w:pPr>
      <w:r>
        <w:t>Output: A without-prejudice settlement package and a documented fallback path.</w:t>
      </w:r>
    </w:p>
    <w:p>
      <w:pPr>
        <w:pStyle w:val="ListBullet"/>
      </w:pPr>
      <w:r>
        <w:t>Acceptance: The recommendation addresses each issue separately, uses at least two defensible criteria and preserves a clear non-agreement path.</w:t>
      </w:r>
    </w:p>
    <w:p>
      <w:pPr>
        <w:pStyle w:val="Heading3"/>
      </w:pPr>
      <w:r>
        <w:t>Activity 9 — Negotiate a Multi-Party Growth Investment · Slide 121</w:t>
      </w:r>
    </w:p>
    <w:p>
      <w:r>
        <w:t>Represent a founder balancing a lead investor, existing shareholders and key management during a growth funding round.</w:t>
      </w:r>
    </w:p>
    <w:p>
      <w:pPr>
        <w:pStyle w:val="ListBullet"/>
      </w:pPr>
      <w:r>
        <w:t>Output: A board briefing recommending one of three complete investment packages.</w:t>
      </w:r>
    </w:p>
    <w:p>
      <w:pPr>
        <w:pStyle w:val="ListBullet"/>
      </w:pPr>
      <w:r>
        <w:t>Acceptance: The board brief covers every material stakeholder, compares three packages and explains why each cited precedent is or is not comparable.</w:t>
      </w:r>
    </w:p>
    <w:p>
      <w:pPr>
        <w:pStyle w:val="Heading3"/>
      </w:pPr>
      <w:r>
        <w:t>Activity 10 — Run and Debrief a Strategic Sustainability Partnership · Slide 126</w:t>
      </w:r>
    </w:p>
    <w:p>
      <w:r>
        <w:t>Negotiate a partnership between an urban property operator and a clean-energy solutions company to deploy solar and energy-management services across commercial sites.</w:t>
      </w:r>
    </w:p>
    <w:p>
      <w:pPr>
        <w:pStyle w:val="ListBullet"/>
      </w:pPr>
      <w:r>
        <w:t>Output: A signed provisional term sheet or a documented no-deal decision supported by the BATNA.</w:t>
      </w:r>
    </w:p>
    <w:p>
      <w:pPr>
        <w:pStyle w:val="ListBullet"/>
      </w:pPr>
      <w:r>
        <w:t>Acceptance: The submission contains a complete negotiation log and executable term sheet or no-deal rationale, with explicit mapping to A1–A5 and all six knowledge areas.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Trainer slide deck and Learner Guide</w:t>
      </w:r>
    </w:p>
    <w:p>
      <w:pPr>
        <w:pStyle w:val="ListBullet"/>
      </w:pPr>
      <w:r>
        <w:t>Ten individual activity folders with scenario PDF, mock data, questionnaire and checklist</w:t>
      </w:r>
    </w:p>
    <w:p>
      <w:pPr>
        <w:pStyle w:val="ListBullet"/>
      </w:pPr>
      <w:r>
        <w:t>Spreadsheet software for package and benchmark analysis</w:t>
      </w:r>
    </w:p>
    <w:p>
      <w:pPr>
        <w:pStyle w:val="ListBullet"/>
      </w:pPr>
      <w:r>
        <w:t>Internet access for cited course-enrichment sources</w:t>
      </w:r>
    </w:p>
    <w:p>
      <w:pPr>
        <w:pStyle w:val="ListBullet"/>
      </w:pPr>
      <w:r>
        <w:t>LMS access for courseware and assessment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(WA-SAQ) — 6 open-ended questions, 1 hour, open book; covers K1–K6.</w:t>
      </w:r>
    </w:p>
    <w:p>
      <w:pPr>
        <w:pStyle w:val="ListBullet"/>
      </w:pPr>
      <w:r>
        <w:t>Case Study Assessment (CS) — 2 integrated open-ended questions, 1 hour, open book; covers A1–A5.</w:t>
      </w:r>
    </w:p>
    <w:p>
      <w:pPr>
        <w:pStyle w:val="ListBullet"/>
      </w:pPr>
      <w:r>
        <w:t>At least 75% attendance and a Competent result in both assessment instruments are required.</w:t>
      </w:r>
    </w:p>
    <w:p>
      <w:pPr>
        <w:pStyle w:val="ListBullet"/>
      </w:pPr>
      <w:r>
        <w:t>Assessment block: Day 2, 4:00pm–6:00pm.</w:t>
      </w:r>
    </w:p>
    <w:p>
      <w:pPr>
        <w:pStyle w:val="ListBullet"/>
      </w:pPr>
      <w:r>
        <w:t>Order: SSG attendance → WA → CS → LMS submission → Assessment Summary Record.</w:t>
      </w:r>
    </w:p>
    <w:p>
      <w:r>
        <w:t xml:space="preserve">LMS: </w:t>
      </w:r>
      <w:hyperlink r:id="rId10">
        <w:r>
          <w:rPr>
            <w:color w:val="1F6FEB"/>
            <w:u w:val="single"/>
          </w:rPr>
          <w:t>https://lms-tms.tertiaryinfotech.com/</w:t>
        </w:r>
      </w:hyperlink>
    </w:p>
    <w:sectPr w:rsidR="00FC693F" w:rsidRPr="0006063C" w:rsidSect="00034616">
      <w:footerReference w:type="default" r:id="rId11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lms-tms.tertiaryinfotech.com/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