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Mastering The Art of Conflict Resolution to Foster Team Collaboration and Success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TGS-2023021752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08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511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088"/>
          </w:tcPr>
          <w:p>
            <w:r/>
            <w:r>
              <w:rPr>
                <w:sz w:val="19"/>
              </w:rPr>
              <w:t>23 May 2023</w:t>
            </w:r>
          </w:p>
        </w:tc>
        <w:tc>
          <w:tcPr>
            <w:tcW w:type="dxa" w:w="5112"/>
          </w:tcPr>
          <w:p>
            <w:r/>
            <w:r>
              <w:rPr>
                <w:sz w:val="19"/>
              </w:rPr>
              <w:t>Initial Lesson Plan release.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088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5112"/>
          </w:tcPr>
          <w:p>
            <w:r/>
            <w:r>
              <w:rPr>
                <w:sz w:val="19"/>
              </w:rPr>
              <w:t>Updated Lesson Plan release retained as the approved predecessor.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088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5112"/>
          </w:tcPr>
          <w:p>
            <w:r/>
            <w:r>
              <w:rPr>
                <w:sz w:val="19"/>
              </w:rPr>
              <w:t>Rebuilt for a 16-hour two-day delivery with current slide references, eight progressive activities, explicit 4:00-6:00pm assessment scheduling and source-aligned facilitation notes.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Identify conflict and practise sensitive resolution, negotiation and mediation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Lead team conflict, apply policy safeguards, review outcomes and prevent recurrence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Facilitation Notes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 — Identifying Conflicts · Slide 17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 — Conflict Resolution Strategies · Slide 43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 — Managing Team Conflicts in the Workplace · Slide 77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4 — Reviewing Effectiveness and Preventing Recurrence · Slide 93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Trainer Preparation</w:t>
        <w:tab/>
        <w:t>10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Mastering The Art of Conflict Resolution to Foster Team Collaboration and Success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WSQ Course Reference</w:t>
            </w:r>
          </w:p>
        </w:tc>
        <w:tc>
          <w:tcPr>
            <w:tcW w:type="dxa" w:w="4320"/>
          </w:tcPr>
          <w:p>
            <w:r>
              <w:t>TGS-2023021752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TSC Reference</w:t>
            </w:r>
          </w:p>
        </w:tc>
        <w:tc>
          <w:tcPr>
            <w:tcW w:type="dxa" w:w="4320"/>
          </w:tcPr>
          <w:p>
            <w:r>
              <w:t>Conflict Management (RET-PMD-4001-1.1) · Skills Framework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Training Provider</w:t>
            </w:r>
          </w:p>
        </w:tc>
        <w:tc>
          <w:tcPr>
            <w:tcW w:type="dxa" w:w="4320"/>
          </w:tcPr>
          <w:p>
            <w:r>
              <w:t>Tertiary Infotech Academy Pte Ltd (UEN: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· 9:00am–6:00pm · 16 hours including 2 assessment hours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t>Instructor-led classroom with individual and small-group practice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Methods</w:t>
            </w:r>
          </w:p>
        </w:tc>
        <w:tc>
          <w:tcPr>
            <w:tcW w:type="dxa" w:w="4320"/>
          </w:tcPr>
          <w:p>
            <w:r>
              <w:t>Interactive presentation, case analysis, role play, coached practice, peer observation and reflection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Presentation computer, projector, timer, printed or digital activity packs, current organisational policies and approved note-taking tools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early indicators of workplace conflicts and minimise their impact.</w:t>
      </w:r>
    </w:p>
    <w:p>
      <w:pPr>
        <w:pStyle w:val="ListBullet"/>
      </w:pPr>
      <w:r>
        <w:t>LO2: Decide and apply suitable conflict resolution strategies while dealing with conflict sensitively.</w:t>
      </w:r>
    </w:p>
    <w:p>
      <w:pPr>
        <w:pStyle w:val="ListBullet"/>
      </w:pPr>
      <w:r>
        <w:t>LO3: Analyse team conflict and coach team members to resolve disagreements constructively.</w:t>
      </w:r>
    </w:p>
    <w:p>
      <w:pPr>
        <w:pStyle w:val="ListBullet"/>
      </w:pPr>
      <w:r>
        <w:t>LO4: Review resolution effectiveness and take action to prevent conflict recurrence.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 — six open-ended questions, 1 hour, open book.</w:t>
      </w:r>
    </w:p>
    <w:p>
      <w:pPr>
        <w:pStyle w:val="ListBullet"/>
      </w:pPr>
      <w:r>
        <w:t>Case Study (CS) — one workplace scenario with four mapped questions, 1 hour, open book.</w:t>
      </w:r>
    </w:p>
    <w:p>
      <w:pPr>
        <w:pStyle w:val="ListBullet"/>
      </w:pPr>
      <w:r>
        <w:t>Assessment block: Day 2, 4:00pm–6:00pm.</w:t>
      </w:r>
    </w:p>
    <w:p>
      <w:pPr>
        <w:pStyle w:val="ListBullet"/>
      </w:pPr>
      <w:r>
        <w:t>Grading: Competent / Not Yet Competent.</w:t>
      </w:r>
    </w:p>
    <w:p>
      <w:pPr>
        <w:pStyle w:val="ListBullet"/>
      </w:pPr>
      <w:r>
        <w:t>A minimum of 75% attendance is required. Learners must complete both instruments and be assessed as Competent.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Identify conflict and practise sensitive resolution, negotiation and 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9:00–9:20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ground rules, course outcomes and mandatory digital attendance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9:20–10:35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75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1: early indicators, stages and Activity 1 — Conflict Signal Triage at LionCity Retail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17–30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10:35–10:45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10:45–12:00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Evidence gathering, root causes and Activity 2 — Evidence Interview and Root-Cause Map at HarborLink Logistics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38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12:00–1:00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1:00–1:45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45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2: strategy selection and Activity 3 — Conflict Style Choice Clinic at BrightWorks Digital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43–55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1:45–2:45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Active listening, reframing and Activity 4 — Mediated Conversation at Mosaic Creative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64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2:45–2:55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2:55–3:45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Interest-based negotiation and Activity 5 — Interest-Based Negotiation at CarePoint Clinics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72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3:45–5:40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115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2 consolidation: style choice, sensitive handling, mediation, negotiation and documented agreements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43–72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5:40–6:00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review, questions, learning journal and PM digital attendance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</w:tbl>
    <w:p>
      <w:r>
        <w:rPr>
          <w:i/>
          <w:color w:val="555B66"/>
        </w:rPr>
        <w:t>Counted training and assessment time: 480 minutes (8.0 hours).</w:t>
      </w:r>
    </w:p>
    <w:p>
      <w:pPr>
        <w:pStyle w:val="Heading2"/>
      </w:pPr>
      <w:r>
        <w:t>Day 2 — Lead team conflict, apply policy safeguards, review outcomes and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9:00–9:15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 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 and mandatory digital attendance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9:15–10:10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55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3: leader responsibility, team coaching and Activity 6 — Leader Coaching Huddle at NovaTech Services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77–88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10:10–10:20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10:20–11:30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70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4: policy, ethics, escalation and Activity 7 — Policy, Ethics and Escalation at Meridian Hospitality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93–105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11:30–12:20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Resolution measurement and Activity 8 — 30-Day Resolution Review at GreenGrid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114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12:20–1:20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1:20–2:40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80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Leadership, coaching, policy safeguards and recurrence-prevention consolidation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77–93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2:40–2:50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2:50–3:40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Integrated case review: diagnose, select, coach, escalate and measure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88–114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3:40–4:00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Course wrap-up, TRAQOM digital attendance and assessment briefing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12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4:00–5:00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Written Assessment — Short Answer Questions (WA-SAQ), six questions, open book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13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5:00–6:00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Case Study (CS) — one scenario with four tasks, open book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126</w:t>
            </w:r>
          </w:p>
        </w:tc>
      </w:tr>
    </w:tbl>
    <w:p>
      <w:r>
        <w:rPr>
          <w:i/>
          <w:color w:val="555B66"/>
        </w:rPr>
        <w:t>Counted training and assessment time: 480 minutes (8.0 hours).</w:t>
      </w:r>
    </w:p>
    <w:p>
      <w:pPr>
        <w:pStyle w:val="Heading1"/>
      </w:pPr>
      <w:r>
        <w:t>Topic-by-Topic Facilitation Notes</w:t>
      </w:r>
    </w:p>
    <w:p>
      <w:pPr>
        <w:pStyle w:val="Heading2"/>
      </w:pPr>
      <w:r>
        <w:t>Topic 1 — Identifying Conflicts · Slide 17</w:t>
      </w:r>
    </w:p>
    <w:p>
      <w:r>
        <w:t>Signals · Stages · Facts and perceptions · Conflict history · Root causes · Impact</w:t>
      </w:r>
    </w:p>
    <w:p>
      <w:pPr>
        <w:pStyle w:val="ListBullet"/>
      </w:pPr>
      <w:r>
        <w:t>Conflict is more than disagreement: it arises when one or more parties perceive that important needs, interests, values, roles or resources are threatened.</w:t>
      </w:r>
    </w:p>
    <w:p>
      <w:pPr>
        <w:pStyle w:val="ListBullet"/>
      </w:pPr>
      <w:r>
        <w:t>Early indicators include changed communication, avoidance, cliques, repeated rework, defensive behaviour, absenteeism, complaints and declining service or output.</w:t>
      </w:r>
    </w:p>
    <w:p>
      <w:pPr>
        <w:pStyle w:val="ListBullet"/>
      </w:pPr>
      <w:r>
        <w:t>The escalation path moves from latent conditions to perceived tension, felt emotion, manifest behaviour and an aftermath that can repair or reinforce the pattern.</w:t>
      </w:r>
    </w:p>
    <w:p>
      <w:pPr>
        <w:pStyle w:val="ListBullet"/>
      </w:pPr>
      <w:r>
        <w:t>A fair assessment triangulates accounts, records, observations and context; it distinguishes facts from interpretations and tests alternative explanations.</w:t>
      </w:r>
    </w:p>
    <w:p>
      <w:pPr>
        <w:pStyle w:val="ListBullet"/>
      </w:pPr>
      <w:r>
        <w:t>Root causes often combine task, process, relationship, status, identity, resource, value and structural factors rather than one difficult personality.</w:t>
      </w:r>
    </w:p>
    <w:p>
      <w:pPr>
        <w:pStyle w:val="ListBullet"/>
      </w:pPr>
      <w:r>
        <w:t>Immediate safety, harassment, discrimination, retaliation or serious misconduct concerns require policy-led escalation rather than informal facilitation alone.</w:t>
      </w:r>
    </w:p>
    <w:p>
      <w:pPr>
        <w:pStyle w:val="Heading3"/>
      </w:pPr>
      <w:r>
        <w:t>Activity 1 — Conflict Signal Triage at LionCity Retail · Slide 30</w:t>
      </w:r>
    </w:p>
    <w:p>
      <w:r>
        <w:t>Objective: recognise early indicators, assess impact and decide the safe first response.</w:t>
      </w:r>
    </w:p>
    <w:p>
      <w:r>
        <w:t>Method: Case study / workshop · Duration: 45 minutes · Output: A completed signal log, conflict-stage map and first-response decision.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2 — Evidence Interview and Root-Cause Map at HarborLink Logistics · Slide 38</w:t>
      </w:r>
    </w:p>
    <w:p>
      <w:r>
        <w:t>Objective: gather and validate conflict information through neutral interviews and root-cause analysis.</w:t>
      </w:r>
    </w:p>
    <w:p>
      <w:r>
        <w:t>Method: Case study / workshop · Duration: 55 minutes · Output: Interview notes, an evidence matrix and a multi-cause conflict map.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Topic 2 — Conflict Resolution Strategies · Slide 43</w:t>
      </w:r>
    </w:p>
    <w:p>
      <w:r>
        <w:t>Emotional regulation · Conflict styles · Active listening · Sensitive dialogue · Negotiation · Mediation</w:t>
      </w:r>
    </w:p>
    <w:p>
      <w:pPr>
        <w:pStyle w:val="ListBullet"/>
      </w:pPr>
      <w:r>
        <w:t>The five common conflict styles—compete, collaborate, compromise, avoid and accommodate—are options with different levels of assertiveness and cooperation.</w:t>
      </w:r>
    </w:p>
    <w:p>
      <w:pPr>
        <w:pStyle w:val="ListBullet"/>
      </w:pPr>
      <w:r>
        <w:t>Emotional regulation comes before problem solving: notice triggers, lower arousal, check safety and agree when and where to talk.</w:t>
      </w:r>
    </w:p>
    <w:p>
      <w:pPr>
        <w:pStyle w:val="ListBullet"/>
      </w:pPr>
      <w:r>
        <w:t>Active listening uses open questions, paraphrasing, validation and summaries to surface needs without implying agreement with every claim.</w:t>
      </w:r>
    </w:p>
    <w:p>
      <w:pPr>
        <w:pStyle w:val="ListBullet"/>
      </w:pPr>
      <w:r>
        <w:t>Assertive communication describes observable behaviour and impact, names the need and makes a specific request without attacking character.</w:t>
      </w:r>
    </w:p>
    <w:p>
      <w:pPr>
        <w:pStyle w:val="ListBullet"/>
      </w:pPr>
      <w:r>
        <w:t>Interest-based negotiation separates people from the problem, explores underlying interests, generates options and checks agreements against objective criteria.</w:t>
      </w:r>
    </w:p>
    <w:p>
      <w:pPr>
        <w:pStyle w:val="ListBullet"/>
      </w:pPr>
      <w:r>
        <w:t>Use a neutral third party when direct dialogue is unsafe, stuck, affected by power imbalance or required by policy; choose facilitation, mediation, conciliation or formal investigation deliberately.</w:t>
      </w:r>
    </w:p>
    <w:p>
      <w:pPr>
        <w:pStyle w:val="Heading3"/>
      </w:pPr>
      <w:r>
        <w:t>Activity 3 — Conflict Style Choice Clinic at BrightWorks Digital · Slide 55</w:t>
      </w:r>
    </w:p>
    <w:p>
      <w:r>
        <w:t>Objective: select and justify a conflict style based on stakes, urgency, relationship and power.</w:t>
      </w:r>
    </w:p>
    <w:p>
      <w:r>
        <w:t>Method: Case study / workshop · Duration: 45 minutes · Output: A conflict-style decision matrix with a staged response rationale.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4 — Mediated Conversation at Mosaic Creative · Slide 64</w:t>
      </w:r>
    </w:p>
    <w:p>
      <w:r>
        <w:t>Objective: conduct a sensitive mediated conversation using active listening, validation and option generation.</w:t>
      </w:r>
    </w:p>
    <w:p>
      <w:r>
        <w:t>Method: Case study / workshop · Duration: 60 minutes · Output: A recorded mediation role play, observer checklist and written resolution agreement.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5 — Interest-Based Negotiation at CarePoint Clinics · Slide 72</w:t>
      </w:r>
    </w:p>
    <w:p>
      <w:r>
        <w:t>Objective: negotiate workload and service priorities using interests, options and objective criteria.</w:t>
      </w:r>
    </w:p>
    <w:p>
      <w:r>
        <w:t>Method: Case study / workshop · Duration: 60 minutes · Output: A negotiation preparation sheet, observed role play and signed implementation record.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Topic 3 — Managing Team Conflicts in the Workplace · Slide 77</w:t>
      </w:r>
    </w:p>
    <w:p>
      <w:r>
        <w:t>Leader accountability · Team norms · Policy · Fair process · Coaching · Productive disagreement</w:t>
      </w:r>
    </w:p>
    <w:p>
      <w:pPr>
        <w:pStyle w:val="ListBullet"/>
      </w:pPr>
      <w:r>
        <w:t>Leaders set conditions for productive disagreement through clear roles, decision rights, behavioural norms, open channels and timely intervention.</w:t>
      </w:r>
    </w:p>
    <w:p>
      <w:pPr>
        <w:pStyle w:val="ListBullet"/>
      </w:pPr>
      <w:r>
        <w:t>Task conflict can improve decisions when psychological safety and shared goals are strong; relationship conflict and personal attacks usually erode collaboration.</w:t>
      </w:r>
    </w:p>
    <w:p>
      <w:pPr>
        <w:pStyle w:val="ListBullet"/>
      </w:pPr>
      <w:r>
        <w:t>A fair process gives each person notice, equal opportunity to speak, neutral fact-finding, confidentiality on a need-to-know basis and a documented outcome.</w:t>
      </w:r>
    </w:p>
    <w:p>
      <w:pPr>
        <w:pStyle w:val="ListBullet"/>
      </w:pPr>
      <w:r>
        <w:t>Organisational policies determine reporting, investigation, support, mediation, discipline, appeal, record-keeping and escalation responsibilities.</w:t>
      </w:r>
    </w:p>
    <w:p>
      <w:pPr>
        <w:pStyle w:val="ListBullet"/>
      </w:pPr>
      <w:r>
        <w:t>Conflict coaching helps team members notice patterns, reframe assumptions, choose a conversation strategy, practise language and commit to observable behaviour.</w:t>
      </w:r>
    </w:p>
    <w:p>
      <w:pPr>
        <w:pStyle w:val="ListBullet"/>
      </w:pPr>
      <w:r>
        <w:t>Managers must avoid retaliation, favoritism, forced reconciliation, premature promises of secrecy and informal handling of matters that require specialist or formal action.</w:t>
      </w:r>
    </w:p>
    <w:p>
      <w:pPr>
        <w:pStyle w:val="Heading3"/>
      </w:pPr>
      <w:r>
        <w:t>Activity 6 — Leader Coaching Huddle at NovaTech Services · Slide 88</w:t>
      </w:r>
    </w:p>
    <w:p>
      <w:r>
        <w:t>Objective: coach team members to prepare and own a constructive conflict conversation.</w:t>
      </w:r>
    </w:p>
    <w:p>
      <w:r>
        <w:t>Method: Case study / workshop · Duration: 60 minutes · Output: A completed COACH worksheet, rehearsal record and follow-up plan.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Topic 4 — Reviewing Effectiveness and Preventing Recurrence · Slide 93</w:t>
      </w:r>
    </w:p>
    <w:p>
      <w:r>
        <w:t>Outcome measures · Follow-up · Recurrence controls · Learning reviews · Legal and ethical safeguards</w:t>
      </w:r>
    </w:p>
    <w:p>
      <w:pPr>
        <w:pStyle w:val="ListBullet"/>
      </w:pPr>
      <w:r>
        <w:t>Review effectiveness against agreed outcomes, behavioural commitments, work performance, relationship quality, stakeholder impact and signs of recurrence.</w:t>
      </w:r>
    </w:p>
    <w:p>
      <w:pPr>
        <w:pStyle w:val="ListBullet"/>
      </w:pPr>
      <w:r>
        <w:t>A resolution can be accepted yet ineffective; use scheduled check-ins, observable indicators and confidential feedback to test whether change lasts.</w:t>
      </w:r>
    </w:p>
    <w:p>
      <w:pPr>
        <w:pStyle w:val="ListBullet"/>
      </w:pPr>
      <w:r>
        <w:t>Prevention actions may clarify roles, rebalance workload, redesign handoffs, strengthen meeting norms, train staff, improve reporting channels or revise policy.</w:t>
      </w:r>
    </w:p>
    <w:p>
      <w:pPr>
        <w:pStyle w:val="ListBullet"/>
      </w:pPr>
      <w:r>
        <w:t>Document only what is necessary, accurate, authorised and proportionate; restrict access and follow organisational retention and personal-data requirements.</w:t>
      </w:r>
    </w:p>
    <w:p>
      <w:pPr>
        <w:pStyle w:val="ListBullet"/>
      </w:pPr>
      <w:r>
        <w:t>Singapore guidance supports prompt grievance channels, open communication, fair treatment, trained neutral fact-finding and safeguards against retaliation.</w:t>
      </w:r>
    </w:p>
    <w:p>
      <w:pPr>
        <w:pStyle w:val="ListBullet"/>
      </w:pPr>
      <w:r>
        <w:t>Serious harassment, threats, discrimination, safety or criminal concerns must be escalated to the authorised function or external authority; this course is not legal advice.</w:t>
      </w:r>
    </w:p>
    <w:p>
      <w:pPr>
        <w:pStyle w:val="Heading3"/>
      </w:pPr>
      <w:r>
        <w:t>Activity 7 — Policy, Ethics and Escalation at Meridian Hospitality · Slide 105</w:t>
      </w:r>
    </w:p>
    <w:p>
      <w:r>
        <w:t>Objective: distinguish resolvable disagreement from conduct requiring formal, confidential escalation.</w:t>
      </w:r>
    </w:p>
    <w:p>
      <w:r>
        <w:t>Method: Case study / workshop · Duration: 55 minutes · Output: An escalation decision record, case-handling checklist and stakeholder communication plan.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8 — 30-Day Resolution Review at GreenGrid Engineering · Slide 114</w:t>
      </w:r>
    </w:p>
    <w:p>
      <w:r>
        <w:t>Objective: evaluate resolution effectiveness and design controls that prevent recurrence.</w:t>
      </w:r>
    </w:p>
    <w:p>
      <w:r>
        <w:t>Method: Case study / workshop · Duration: 55 minutes · Output: A 30-day effectiveness scorecard, learning review and recurrence-prevention action plan.</w:t>
      </w:r>
    </w:p>
    <w:p>
      <w:pPr>
        <w:keepLines/>
      </w:pPr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1"/>
      </w:pPr>
      <w:r>
        <w:t>Resources and Trainer Preparation</w:t>
      </w:r>
    </w:p>
    <w:p>
      <w:pPr>
        <w:pStyle w:val="ListBullet"/>
      </w:pPr>
      <w:r>
        <w:t>Open the final PPTX and backup PDF; verify fonts, links, animations and presenter display.</w:t>
      </w:r>
    </w:p>
    <w:p>
      <w:pPr>
        <w:pStyle w:val="ListBullet"/>
      </w:pPr>
      <w:r>
        <w:t>Provide the Learner Guide and the eight individual activity folders before each activity.</w:t>
      </w:r>
    </w:p>
    <w:p>
      <w:pPr>
        <w:pStyle w:val="ListBullet"/>
      </w:pPr>
      <w:r>
        <w:t>Review role-play safety, time-out and de-role procedures; do not require disclosure of personal conflicts.</w:t>
      </w:r>
    </w:p>
    <w:p>
      <w:pPr>
        <w:pStyle w:val="ListBullet"/>
      </w:pPr>
      <w:r>
        <w:t>Check the organisation's current grievance, conduct, harassment, privacy and escalation policies before discussing real cases.</w:t>
      </w:r>
    </w:p>
    <w:p>
      <w:pPr>
        <w:pStyle w:val="ListBullet"/>
      </w:pPr>
      <w:r>
        <w:t>Prepare digital-attendance and TRAQOM access; keep assessment answer keys trainer-only and never display them to learners.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