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13</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16</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18</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22</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32</w:t>
      </w:r>
    </w:p>
    <w:p>
      <w:pPr>
        <w:tabs>
          <w:tab w:pos="9648" w:val="right" w:leader="dot"/>
        </w:tabs>
        <w:spacing w:after="20"/>
        <w:ind w:left="720"/>
      </w:pPr>
      <w:r>
        <w:rPr>
          <w:b w:val="0"/>
          <w:sz w:val="19"/>
        </w:rPr>
        <w:t>Subagents in Codex</w:t>
        <w:tab/>
        <w:t>32</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35</w:t>
      </w:r>
    </w:p>
    <w:p>
      <w:pPr>
        <w:tabs>
          <w:tab w:pos="9648" w:val="right" w:leader="dot"/>
        </w:tabs>
        <w:spacing w:after="20"/>
        <w:ind w:left="720"/>
      </w:pPr>
      <w:r>
        <w:rPr>
          <w:b w:val="0"/>
          <w:sz w:val="19"/>
        </w:rPr>
        <w:t>Campaign 3: Newsletter + Landing Page</w:t>
        <w:tab/>
        <w:t>35</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37</w:t>
      </w:r>
    </w:p>
    <w:p>
      <w:pPr>
        <w:tabs>
          <w:tab w:pos="9648" w:val="right" w:leader="dot"/>
        </w:tabs>
        <w:spacing w:after="20"/>
        <w:ind w:left="720"/>
      </w:pPr>
      <w:r>
        <w:rPr>
          <w:b w:val="0"/>
          <w:sz w:val="19"/>
        </w:rPr>
        <w:t>Campaign 4: The YouTube Explainer</w:t>
        <w:tab/>
        <w:t>37</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43</w:t>
      </w:r>
    </w:p>
    <w:p>
      <w:pPr>
        <w:tabs>
          <w:tab w:pos="9648" w:val="right" w:leader="dot"/>
        </w:tabs>
        <w:spacing w:after="20"/>
        <w:ind w:left="720"/>
      </w:pPr>
      <w:r>
        <w:rPr>
          <w:b w:val="0"/>
          <w:sz w:val="19"/>
        </w:rPr>
        <w:t>Dots: Always-On Agent Coworkers</w:t>
        <w:tab/>
        <w:t>43</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16–72.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Claude Code and Codex: agents plan, act and check their own work. Results depend on the system around the model.</w:t>
      </w:r>
    </w:p>
    <w:p>
      <w:pPr>
        <w:pStyle w:val="ListBullet"/>
      </w:pPr>
      <w:r>
        <w:rPr>
          <w:b/>
        </w:rPr>
        <w:t>2026 · AI Agents</w:t>
      </w:r>
      <w:r>
        <w:rPr>
          <w:b w:val="0"/>
        </w:rPr>
        <w:t xml:space="preserve"> — ChatGPT Work and Codex subagents; workspace agents and always-on Dots.</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